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0 — Executive Summary, Questionnaire &amp; Control Crosswalk</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9"/>
    <w:bookmarkStart w:id="10" w:name="X12714b0d8487abd5c41cb3318268341357b34d1"/>
    <w:p>
      <w:pPr>
        <w:pStyle w:val="Heading2"/>
      </w:pPr>
      <w:r>
        <w:t xml:space="preserve">This is the technical compendium — the two-page brief is Book 00a</w:t>
      </w:r>
    </w:p>
    <w:p>
      <w:pPr>
        <w:pStyle w:val="FirstParagraph"/>
      </w:pPr>
      <w:r>
        <w:t xml:space="preserve">This document is the full technical body: the thesis, the doctrine, and the</w:t>
      </w:r>
      <w:r>
        <w:t xml:space="preserve"> </w:t>
      </w:r>
      <w:r>
        <w:t xml:space="preserve">per-book NIST SP 800-53 control-closure tables.</w:t>
      </w:r>
      <w:r>
        <w:t xml:space="preserve"> </w:t>
      </w:r>
      <w:r>
        <w:rPr>
          <w:b/>
          <w:bCs/>
        </w:rPr>
        <w:t xml:space="preserve">Authorizing officials, program</w:t>
      </w:r>
      <w:r>
        <w:rPr>
          <w:b/>
          <w:bCs/>
        </w:rPr>
        <w:t xml:space="preserve"> </w:t>
      </w:r>
      <w:r>
        <w:rPr>
          <w:b/>
          <w:bCs/>
        </w:rPr>
        <w:t xml:space="preserve">executives, and budget decision-makers should start with</w:t>
      </w:r>
      <w:r>
        <w:rPr>
          <w:b/>
          <w:bCs/>
        </w:rPr>
        <w:t xml:space="preserve"> </w:t>
      </w:r>
      <w:r>
        <w:rPr>
          <w:b/>
          <w:bCs/>
        </w:rPr>
        <w:t xml:space="preserve">Vol 0 Book 00a — Executive Brief</w:t>
      </w:r>
      <w:r>
        <w:t xml:space="preserve">,</w:t>
      </w:r>
      <w:r>
        <w:t xml:space="preserve"> </w:t>
      </w:r>
      <w:r>
        <w:t xml:space="preserve">which carries the thesis, the three binding deadlines, the decisions required</w:t>
      </w:r>
      <w:r>
        <w:t xml:space="preserve"> </w:t>
      </w:r>
      <w:r>
        <w:t xml:space="preserve">from OIS/CIO, the cost of inaction, and role-based reading paths in two pages.</w:t>
      </w:r>
      <w:r>
        <w:t xml:space="preserve"> </w:t>
      </w:r>
      <w:r>
        <w:t xml:space="preserve">Everything below is the detail behind that brief.</w:t>
      </w:r>
    </w:p>
    <w:bookmarkEnd w:id="10"/>
    <w:bookmarkStart w:id="11" w:name="about-this-document"/>
    <w:p>
      <w:pPr>
        <w:pStyle w:val="Heading2"/>
      </w:pPr>
      <w:r>
        <w:t xml:space="preserve">About This Document</w:t>
      </w:r>
    </w:p>
    <w:p>
      <w:pPr>
        <w:pStyle w:val="FirstParagraph"/>
      </w:pPr>
      <w:r>
        <w:t xml:space="preserve">This series was developed by the</w:t>
      </w:r>
      <w:r>
        <w:t xml:space="preserve"> </w:t>
      </w:r>
      <w:r>
        <w:rPr>
          <w:b/>
          <w:bCs/>
        </w:rPr>
        <w:t xml:space="preserve">CSI Team (Cloud Services Infrastructure)</w:t>
      </w:r>
      <w:r>
        <w:t xml:space="preserve"> </w:t>
      </w:r>
      <w:r>
        <w:t xml:space="preserve">as a technical planning document for Agency’s FedRAMP 20x compliance transition. It represents an Agency-wide analysis of the architectural work required to satisfy NIST SP 800-53 Rev 5 controls and FedRAMP 20x Key Security Indicators under the Consolidated Rules effective January 1, 2027.</w:t>
      </w:r>
    </w:p>
    <w:p>
      <w:pPr>
        <w:pStyle w:val="BodyText"/>
      </w:pPr>
      <w:r>
        <w:rPr>
          <w:b/>
          <w:bCs/>
        </w:rPr>
        <w:t xml:space="preserve">What this is:</w:t>
      </w:r>
      <w:r>
        <w:t xml:space="preserve"> </w:t>
      </w:r>
      <w:r>
        <w:t xml:space="preserve">A comprehensive technical roadmap — mapping twenty-three implementation areas to specific control families, identifying closure mechanisms, and sequencing the work against the regulatory timeline. It is an attempt at a true enterprise-wide view, not a CSI-scoped one.</w:t>
      </w:r>
    </w:p>
    <w:p>
      <w:pPr>
        <w:pStyle w:val="BodyText"/>
      </w:pPr>
      <w:r>
        <w:rPr>
          <w:b/>
          <w:bCs/>
        </w:rPr>
        <w:t xml:space="preserve">What this is not:</w:t>
      </w:r>
      <w:r>
        <w:t xml:space="preserve"> </w:t>
      </w:r>
      <w:r>
        <w:t xml:space="preserve">A final implementation mandate, an organizational assignment of responsibilities, or a procurement decision. The CSI Team does not hold authority over the full scope of what this series describes. Security policy authority, control ownership, budget authority, and implementation accountability span multiple organizations and must be established through a formal alignment process.</w:t>
      </w:r>
    </w:p>
    <w:p>
      <w:pPr>
        <w:pStyle w:val="BodyText"/>
      </w:pPr>
      <w:r>
        <w:rPr>
          <w:b/>
          <w:bCs/>
        </w:rPr>
        <w:t xml:space="preserve">OIS and security leadership:</w:t>
      </w:r>
      <w:r>
        <w:t xml:space="preserve"> </w:t>
      </w:r>
      <w:r>
        <w:t xml:space="preserve">The Office of Information Security (OIS) will have substantial influence over the security architecture, policy framework, and control ownership decisions described in this series. This document has not yet been reviewed by OIS. That review — and OIS’s active participation in shaping the implementation approach — is a required step before any commitments are made.</w:t>
      </w:r>
    </w:p>
    <w:p>
      <w:pPr>
        <w:pStyle w:val="BodyText"/>
      </w:pPr>
      <w:r>
        <w:rPr>
          <w:b/>
          <w:bCs/>
        </w:rPr>
        <w:t xml:space="preserve">Expected revision process:</w:t>
      </w:r>
      <w:r>
        <w:t xml:space="preserve"> </w:t>
      </w:r>
      <w:r>
        <w:t xml:space="preserve">This roadmap will necessarily be modified as it is reviewed by:</w:t>
      </w:r>
    </w:p>
    <w:p>
      <w:pPr>
        <w:pStyle w:val="Compact"/>
        <w:numPr>
          <w:ilvl w:val="0"/>
          <w:numId w:val="1001"/>
        </w:numPr>
      </w:pPr>
      <w:r>
        <w:rPr>
          <w:b/>
          <w:bCs/>
        </w:rPr>
        <w:t xml:space="preserve">CIO Office</w:t>
      </w:r>
      <w:r>
        <w:t xml:space="preserve"> </w:t>
      </w:r>
      <w:r>
        <w:t xml:space="preserve">— strategic direction, enterprise architecture alignment, and prioritization</w:t>
      </w:r>
    </w:p>
    <w:p>
      <w:pPr>
        <w:pStyle w:val="Compact"/>
        <w:numPr>
          <w:ilvl w:val="0"/>
          <w:numId w:val="1001"/>
        </w:numPr>
      </w:pPr>
      <w:r>
        <w:rPr>
          <w:b/>
          <w:bCs/>
        </w:rPr>
        <w:t xml:space="preserve">Office of Information Security (OIS)</w:t>
      </w:r>
      <w:r>
        <w:t xml:space="preserve"> </w:t>
      </w:r>
      <w:r>
        <w:t xml:space="preserve">— security policy, control ownership, assessment methodology, and risk acceptance authority</w:t>
      </w:r>
    </w:p>
    <w:p>
      <w:pPr>
        <w:pStyle w:val="Compact"/>
        <w:numPr>
          <w:ilvl w:val="0"/>
          <w:numId w:val="1001"/>
        </w:numPr>
      </w:pPr>
      <w:r>
        <w:rPr>
          <w:b/>
          <w:bCs/>
        </w:rPr>
        <w:t xml:space="preserve">Organizational leaders</w:t>
      </w:r>
      <w:r>
        <w:t xml:space="preserve"> </w:t>
      </w:r>
      <w:r>
        <w:t xml:space="preserve">— operational feasibility, resource capacity, and accountability mapping across Agency’s organizational units</w:t>
      </w:r>
    </w:p>
    <w:p>
      <w:pPr>
        <w:pStyle w:val="Compact"/>
        <w:numPr>
          <w:ilvl w:val="0"/>
          <w:numId w:val="1001"/>
        </w:numPr>
      </w:pPr>
      <w:r>
        <w:rPr>
          <w:b/>
          <w:bCs/>
        </w:rPr>
        <w:t xml:space="preserve">Program offices</w:t>
      </w:r>
      <w:r>
        <w:t xml:space="preserve"> </w:t>
      </w:r>
      <w:r>
        <w:t xml:space="preserve">— system-specific applicability of the recommended controls and implementation sequencing</w:t>
      </w:r>
    </w:p>
    <w:p>
      <w:pPr>
        <w:pStyle w:val="FirstParagraph"/>
      </w:pPr>
      <w:r>
        <w:rPr>
          <w:b/>
          <w:bCs/>
        </w:rPr>
        <w:t xml:space="preserve">The compliance timeline is not advisory.</w:t>
      </w:r>
      <w:r>
        <w:t xml:space="preserve"> </w:t>
      </w:r>
      <w:r>
        <w:t xml:space="preserve">The FedRAMP 20x mandatory date of January 1, 2027 is a regulatory requirement, not an internal target. The architectural gap this series describes is real, and the window to close it is closing. This roadmap does not reduce that urgency — it maps the path. Closing it requires alignment and action across all of the organizations named above.</w:t>
      </w:r>
    </w:p>
    <w:bookmarkEnd w:id="11"/>
    <w:bookmarkStart w:id="12" w:name="X40f40a5c200ac71c175d9e8facce0696389e3bf"/>
    <w:p>
      <w:pPr>
        <w:pStyle w:val="Heading2"/>
      </w:pPr>
      <w:r>
        <w:t xml:space="preserve">Series Extension — Multi-CSP Coordination and the Accreditation Substrate</w:t>
      </w:r>
    </w:p>
    <w:p>
      <w:pPr>
        <w:pStyle w:val="FirstParagraph"/>
      </w:pPr>
      <w:r>
        <w:t xml:space="preserve">This keystone</w:t>
      </w:r>
      <w:r>
        <w:t xml:space="preserve"> </w:t>
      </w:r>
      <w:r>
        <w:rPr>
          <w:b/>
          <w:bCs/>
        </w:rPr>
        <w:t xml:space="preserve">has been extended</w:t>
      </w:r>
      <w:r>
        <w:t xml:space="preserve"> </w:t>
      </w:r>
      <w:r>
        <w:t xml:space="preserve">to close two gaps the Microsoft-reference drafting left open —</w:t>
      </w:r>
      <w:r>
        <w:t xml:space="preserve"> </w:t>
      </w:r>
      <w:r>
        <w:rPr>
          <w:b/>
          <w:bCs/>
        </w:rPr>
        <w:t xml:space="preserve">multi-CSP patch and systems management</w:t>
      </w:r>
      <w:r>
        <w:t xml:space="preserve"> </w:t>
      </w:r>
      <w:r>
        <w:t xml:space="preserve">(how AWS, Oracle OCI, VMware, and Red Hat native stacks coordinate with the Azure/Intune stack rather than living under one Microsoft plane — see</w:t>
      </w:r>
      <w:r>
        <w:t xml:space="preserve"> </w:t>
      </w:r>
      <w:r>
        <w:rPr>
          <w:i/>
          <w:iCs/>
        </w:rPr>
        <w:t xml:space="preserve">The Management-Plane Coordination Doctrine</w:t>
      </w:r>
      <w:r>
        <w:t xml:space="preserve"> </w:t>
      </w:r>
      <w:r>
        <w:t xml:space="preserve">below) and</w:t>
      </w:r>
      <w:r>
        <w:t xml:space="preserve"> </w:t>
      </w:r>
      <w:r>
        <w:rPr>
          <w:b/>
          <w:bCs/>
        </w:rPr>
        <w:t xml:space="preserve">the network enforcement substrate</w:t>
      </w:r>
      <w:r>
        <w:t xml:space="preserve"> </w:t>
      </w:r>
      <w:r>
        <w:t xml:space="preserve">(how Cisco, Palo Alto, and Juniper gear closes NIST controls through the NIAP / DISA STIG / FIPS 140-3 / DoDIN APL gate FedRAMP does not cover — see</w:t>
      </w:r>
      <w:r>
        <w:t xml:space="preserve"> </w:t>
      </w:r>
      <w:r>
        <w:rPr>
          <w:i/>
          <w:iCs/>
        </w:rPr>
        <w:t xml:space="preserve">Theme F — The Accreditation Substrate</w:t>
      </w:r>
      <w:r>
        <w:t xml:space="preserve"> </w:t>
      </w:r>
      <w:r>
        <w:t xml:space="preserve">below).</w:t>
      </w:r>
    </w:p>
    <w:p>
      <w:pPr>
        <w:pStyle w:val="BodyText"/>
      </w:pPr>
      <w:r>
        <w:rPr>
          <w:b/>
          <w:bCs/>
        </w:rPr>
        <w:t xml:space="preserve">Four books formalize the extension:</w:t>
      </w:r>
      <w:r>
        <w:t xml:space="preserve"> </w:t>
      </w:r>
      <w:r>
        <w:t xml:space="preserve">Network Enforcement Substrate (Vol I Book 07), Patch &amp; Systems Management (Vol III Book 03), Cloud-Native Security Posture &amp; Containers (Vol III Book 04), and the Multi-Cloud Evidence Fabric (Vol III Book 07). Multi-CSP sections were also added to Privileged Access Management (Vol III Book 01), Data Protection (Vol III Book 05), and Business Continuity (Vol IV Book 01). At this extension the series was organized in</w:t>
      </w:r>
      <w:r>
        <w:t xml:space="preserve"> </w:t>
      </w:r>
      <w:r>
        <w:rPr>
          <w:b/>
          <w:bCs/>
        </w:rPr>
        <w:t xml:space="preserve">six volumes</w:t>
      </w:r>
      <w:r>
        <w:t xml:space="preserve"> </w:t>
      </w:r>
      <w:r>
        <w:t xml:space="preserve">— a program volume (Vol 0), the four implementation volumes (Volumes I–IV), and the enablement volume (</w:t>
      </w:r>
      <w:r>
        <w:rPr>
          <w:b/>
          <w:bCs/>
        </w:rPr>
        <w:t xml:space="preserve">Volume V — Training &amp; Certification</w:t>
      </w:r>
      <w:r>
        <w:t xml:space="preserve">), which teaches the corpus and produces the training-slot evidence (KSI-CED) the authorization package depends on.</w:t>
      </w:r>
      <w:r>
        <w:t xml:space="preserve"> </w:t>
      </w:r>
      <w:r>
        <w:rPr>
          <w:i/>
          <w:iCs/>
        </w:rPr>
        <w:t xml:space="preserve">Series Extension II</w:t>
      </w:r>
      <w:r>
        <w:t xml:space="preserve"> </w:t>
      </w:r>
      <w:r>
        <w:t xml:space="preserve">(below) carries this to the current</w:t>
      </w:r>
      <w:r>
        <w:t xml:space="preserve"> </w:t>
      </w:r>
      <w:r>
        <w:rPr>
          <w:b/>
          <w:bCs/>
        </w:rPr>
        <w:t xml:space="preserve">eleven volumes (0–X)</w:t>
      </w:r>
      <w:r>
        <w:t xml:space="preserve">, adding the implementation, coordination, day-2, and substrate-integration volumes.</w:t>
      </w:r>
    </w:p>
    <w:p>
      <w:pPr>
        <w:pStyle w:val="BodyText"/>
      </w:pPr>
      <w:r>
        <w:rPr>
          <w:b/>
          <w:bCs/>
        </w:rPr>
        <w:t xml:space="preserve">Reconciliation of the headline figures:</w:t>
      </w:r>
    </w:p>
    <w:p>
      <w:pPr>
        <w:pStyle w:val="Compact"/>
        <w:numPr>
          <w:ilvl w:val="0"/>
          <w:numId w:val="1002"/>
        </w:numPr>
      </w:pPr>
      <w:r>
        <w:rPr>
          <w:b/>
          <w:bCs/>
        </w:rPr>
        <w:t xml:space="preserve">Book count</w:t>
      </w:r>
      <w:r>
        <w:t xml:space="preserve"> </w:t>
      </w:r>
      <w:r>
        <w:t xml:space="preserve">— twenty-three implementation books (was nineteen), plus this Executive Summary, the Product Inventory Questionnaire, five volume overviews, and the four</w:t>
      </w:r>
      <w:r>
        <w:t xml:space="preserve"> </w:t>
      </w:r>
      <w:r>
        <w:rPr>
          <w:b/>
          <w:bCs/>
        </w:rPr>
        <w:t xml:space="preserve">Volume V enablement books</w:t>
      </w:r>
      <w:r>
        <w:t xml:space="preserve"> </w:t>
      </w:r>
      <w:r>
        <w:t xml:space="preserve">(compliance track, implementation track, assessment &amp; certification, vendor training &amp; labs). Volume V is training/enablement material, not counted among the twenty-three implementation books; it teaches them.</w:t>
      </w:r>
    </w:p>
    <w:p>
      <w:pPr>
        <w:pStyle w:val="Compact"/>
        <w:numPr>
          <w:ilvl w:val="0"/>
          <w:numId w:val="1002"/>
        </w:numPr>
      </w:pPr>
      <w:r>
        <w:rPr>
          <w:b/>
          <w:bCs/>
        </w:rPr>
        <w:t xml:space="preserve">“34 distinct controls”</w:t>
      </w:r>
      <w:r>
        <w:t xml:space="preserve"> </w:t>
      </w:r>
      <w:r>
        <w:t xml:space="preserve">remains the total for the</w:t>
      </w:r>
      <w:r>
        <w:t xml:space="preserve"> </w:t>
      </w:r>
      <w:r>
        <w:rPr>
          <w:i/>
          <w:iCs/>
        </w:rPr>
        <w:t xml:space="preserve">original six tracks</w:t>
      </w:r>
      <w:r>
        <w:t xml:space="preserve"> </w:t>
      </w:r>
      <w:r>
        <w:t xml:space="preserve">(Vol I Book 01 and the modernization/data tracks); the four extension books close</w:t>
      </w:r>
      <w:r>
        <w:t xml:space="preserve"> </w:t>
      </w:r>
      <w:r>
        <w:rPr>
          <w:i/>
          <w:iCs/>
        </w:rPr>
        <w:t xml:space="preserve">additional</w:t>
      </w:r>
      <w:r>
        <w:t xml:space="preserve"> </w:t>
      </w:r>
      <w:r>
        <w:t xml:space="preserve">controls enumerated in their own</w:t>
      </w:r>
      <w:r>
        <w:t xml:space="preserve"> </w:t>
      </w:r>
      <w:r>
        <w:t xml:space="preserve">“Authorities Closed Here”</w:t>
      </w:r>
      <w:r>
        <w:t xml:space="preserve"> </w:t>
      </w:r>
      <w:r>
        <w:t xml:space="preserve">tables, generated from the compliance spine.</w:t>
      </w:r>
    </w:p>
    <w:p>
      <w:pPr>
        <w:pStyle w:val="Compact"/>
        <w:numPr>
          <w:ilvl w:val="0"/>
          <w:numId w:val="1002"/>
        </w:numPr>
      </w:pPr>
      <w:r>
        <w:rPr>
          <w:b/>
          <w:bCs/>
        </w:rPr>
        <w:t xml:space="preserve">“29 KSIs”</w:t>
      </w:r>
      <w:r>
        <w:t xml:space="preserve"> </w:t>
      </w:r>
      <w:r>
        <w:t xml:space="preserve">is unchanged — the series’ internal 29-rule KSI decomposition. The extension books add</w:t>
      </w:r>
      <w:r>
        <w:t xml:space="preserve"> </w:t>
      </w:r>
      <w:r>
        <w:rPr>
          <w:i/>
          <w:iCs/>
        </w:rPr>
        <w:t xml:space="preserve">evidence</w:t>
      </w:r>
      <w:r>
        <w:t xml:space="preserve"> </w:t>
      </w:r>
      <w:r>
        <w:t xml:space="preserve">for existing network, endpoint, telemetry, and security slots; none adds a new KSI rule, and because their evidence is architecture-generated rather than conformance-tool-attestable, they reinforce the</w:t>
      </w:r>
      <w:r>
        <w:t xml:space="preserve"> </w:t>
      </w:r>
      <w:r>
        <w:t xml:space="preserve">“19 of 29 require the architecture”</w:t>
      </w:r>
      <w:r>
        <w:t xml:space="preserve"> </w:t>
      </w:r>
      <w:r>
        <w:t xml:space="preserve">finding below.</w:t>
      </w:r>
    </w:p>
    <w:bookmarkEnd w:id="12"/>
    <w:bookmarkStart w:id="13" w:name="Xf0c2250f25c6edcd49c73c9bf2ed6ea04b75e27"/>
    <w:p>
      <w:pPr>
        <w:pStyle w:val="Heading2"/>
      </w:pPr>
      <w:r>
        <w:t xml:space="preserve">Series Extension II — Implementation, Coordination &amp; Day-2 Operations (Volumes VI–IX)</w:t>
      </w:r>
    </w:p>
    <w:p>
      <w:pPr>
        <w:pStyle w:val="FirstParagraph"/>
      </w:pPr>
      <w:r>
        <w:t xml:space="preserve">The series</w:t>
      </w:r>
      <w:r>
        <w:t xml:space="preserve"> </w:t>
      </w:r>
      <w:r>
        <w:rPr>
          <w:b/>
          <w:bCs/>
        </w:rPr>
        <w:t xml:space="preserve">has been extended again</w:t>
      </w:r>
      <w:r>
        <w:t xml:space="preserve">, from six volumes to ten (Volumes 0–IX) —</w:t>
      </w:r>
      <w:r>
        <w:t xml:space="preserve"> </w:t>
      </w:r>
      <w:r>
        <w:t xml:space="preserve">and a final integration volume,</w:t>
      </w:r>
      <w:r>
        <w:t xml:space="preserve"> </w:t>
      </w:r>
      <w:r>
        <w:rPr>
          <w:b/>
          <w:bCs/>
        </w:rPr>
        <w:t xml:space="preserve">Volume X</w:t>
      </w:r>
      <w:r>
        <w:t xml:space="preserve">, has since brought it to the current</w:t>
      </w:r>
      <w:r>
        <w:t xml:space="preserve"> </w:t>
      </w:r>
      <w:r>
        <w:rPr>
          <w:b/>
          <w:bCs/>
        </w:rPr>
        <w:t xml:space="preserve">eleven (Volumes 0–X)</w:t>
      </w:r>
      <w:r>
        <w:t xml:space="preserve">.</w:t>
      </w:r>
      <w:r>
        <w:t xml:space="preserve"> </w:t>
      </w:r>
      <w:r>
        <w:t xml:space="preserve">Where Volumes I–IV establish the architecture (</w:t>
      </w:r>
      <w:r>
        <w:rPr>
          <w:i/>
          <w:iCs/>
        </w:rPr>
        <w:t xml:space="preserve">what must be true and why</w:t>
      </w:r>
      <w:r>
        <w:t xml:space="preserve">) and</w:t>
      </w:r>
      <w:r>
        <w:t xml:space="preserve"> </w:t>
      </w:r>
      <w:r>
        <w:t xml:space="preserve">Volume V teaches it, four further volumes make it</w:t>
      </w:r>
      <w:r>
        <w:t xml:space="preserve"> </w:t>
      </w:r>
      <w:r>
        <w:rPr>
          <w:b/>
          <w:bCs/>
        </w:rPr>
        <w:t xml:space="preserve">buildable and operable</w:t>
      </w:r>
      <w:r>
        <w:t xml:space="preserve">:</w:t>
      </w:r>
    </w:p>
    <w:p>
      <w:pPr>
        <w:pStyle w:val="Compact"/>
        <w:numPr>
          <w:ilvl w:val="0"/>
          <w:numId w:val="1003"/>
        </w:numPr>
      </w:pPr>
      <w:r>
        <w:rPr>
          <w:b/>
          <w:bCs/>
        </w:rPr>
        <w:t xml:space="preserve">Volume VI — Implementation.</w:t>
      </w:r>
      <w:r>
        <w:t xml:space="preserve"> </w:t>
      </w:r>
      <w:r>
        <w:t xml:space="preserve">The deployable layer: landing-zone and network</w:t>
      </w:r>
      <w:r>
        <w:t xml:space="preserve"> </w:t>
      </w:r>
      <w:r>
        <w:t xml:space="preserve">IaC, identity-as-code, the detection-rule and SOAR-playbook libraries,</w:t>
      </w:r>
      <w:r>
        <w:t xml:space="preserve"> </w:t>
      </w:r>
      <w:r>
        <w:t xml:space="preserve">configuration baselines, the evidence/ConMon pipeline, and validation</w:t>
      </w:r>
      <w:r>
        <w:t xml:space="preserve"> </w:t>
      </w:r>
      <w:r>
        <w:t xml:space="preserve">harnesses. Where an architecture book</w:t>
      </w:r>
      <w:r>
        <w:t xml:space="preserve"> </w:t>
      </w:r>
      <w:r>
        <w:rPr>
          <w:i/>
          <w:iCs/>
        </w:rPr>
        <w:t xml:space="preserve">closes</w:t>
      </w:r>
      <w:r>
        <w:t xml:space="preserve"> </w:t>
      </w:r>
      <w:r>
        <w:t xml:space="preserve">a control, the matching Vol VI</w:t>
      </w:r>
      <w:r>
        <w:t xml:space="preserve"> </w:t>
      </w:r>
      <w:r>
        <w:t xml:space="preserve">book</w:t>
      </w:r>
      <w:r>
        <w:t xml:space="preserve"> </w:t>
      </w:r>
      <w:r>
        <w:rPr>
          <w:i/>
          <w:iCs/>
        </w:rPr>
        <w:t xml:space="preserve">deploys it as code</w:t>
      </w:r>
      <w:r>
        <w:t xml:space="preserve"> </w:t>
      </w:r>
      <w:r>
        <w:t xml:space="preserve">— the</w:t>
      </w:r>
      <w:r>
        <w:t xml:space="preserve"> </w:t>
      </w:r>
      <w:r>
        <w:t xml:space="preserve">“how”</w:t>
      </w:r>
      <w:r>
        <w:t xml:space="preserve"> </w:t>
      </w:r>
      <w:r>
        <w:t xml:space="preserve">beneath the</w:t>
      </w:r>
      <w:r>
        <w:t xml:space="preserve"> </w:t>
      </w:r>
      <w:r>
        <w:t xml:space="preserve">“what.”</w:t>
      </w:r>
    </w:p>
    <w:p>
      <w:pPr>
        <w:pStyle w:val="Compact"/>
        <w:numPr>
          <w:ilvl w:val="0"/>
          <w:numId w:val="1003"/>
        </w:numPr>
      </w:pPr>
      <w:r>
        <w:rPr>
          <w:b/>
          <w:bCs/>
        </w:rPr>
        <w:t xml:space="preserve">Volume VII — ServiceNow Automation for Federal Control Compliance.</w:t>
      </w:r>
      <w:r>
        <w:t xml:space="preserve"> </w:t>
      </w:r>
      <w:r>
        <w:t xml:space="preserve">The</w:t>
      </w:r>
      <w:r>
        <w:t xml:space="preserve"> </w:t>
      </w:r>
      <w:r>
        <w:t xml:space="preserve">coordination layer that turns M365 and Azure control state into tracked tasks,</w:t>
      </w:r>
      <w:r>
        <w:t xml:space="preserve"> </w:t>
      </w:r>
      <w:r>
        <w:t xml:space="preserve">reviewable change, machine-readable evidence, and authorization-package input.</w:t>
      </w:r>
      <w:r>
        <w:t xml:space="preserve"> </w:t>
      </w:r>
      <w:r>
        <w:t xml:space="preserve">ServiceNow is a</w:t>
      </w:r>
      <w:r>
        <w:t xml:space="preserve"> </w:t>
      </w:r>
      <w:r>
        <w:rPr>
          <w:b/>
          <w:bCs/>
        </w:rPr>
        <w:t xml:space="preserve">workflow/enforcement plane</w:t>
      </w:r>
      <w:r>
        <w:t xml:space="preserve">: its CMDB</w:t>
      </w:r>
      <w:r>
        <w:t xml:space="preserve"> </w:t>
      </w:r>
      <w:r>
        <w:rPr>
          <w:i/>
          <w:iCs/>
        </w:rPr>
        <w:t xml:space="preserve">reconciles to</w:t>
      </w:r>
      <w:r>
        <w:t xml:space="preserve"> </w:t>
      </w:r>
      <w:r>
        <w:t xml:space="preserve">the</w:t>
      </w:r>
      <w:r>
        <w:t xml:space="preserve"> </w:t>
      </w:r>
      <w:r>
        <w:t xml:space="preserve">authoritative IPAM/DDI asset identity (CM-8 join key) and never becomes the</w:t>
      </w:r>
      <w:r>
        <w:t xml:space="preserve"> </w:t>
      </w:r>
      <w:r>
        <w:t xml:space="preserve">SSOT; actuation stays platform-native.</w:t>
      </w:r>
    </w:p>
    <w:p>
      <w:pPr>
        <w:pStyle w:val="Compact"/>
        <w:numPr>
          <w:ilvl w:val="0"/>
          <w:numId w:val="1003"/>
        </w:numPr>
      </w:pPr>
      <w:r>
        <w:rPr>
          <w:b/>
          <w:bCs/>
        </w:rPr>
        <w:t xml:space="preserve">Volume VIII — Multi-Cloud DDI Landing-Zone Automation.</w:t>
      </w:r>
      <w:r>
        <w:t xml:space="preserve"> </w:t>
      </w:r>
      <w:r>
        <w:t xml:space="preserve">The naming/addressing</w:t>
      </w:r>
      <w:r>
        <w:t xml:space="preserve"> </w:t>
      </w:r>
      <w:r>
        <w:t xml:space="preserve">plane realized across</w:t>
      </w:r>
      <w:r>
        <w:t xml:space="preserve"> </w:t>
      </w:r>
      <w:r>
        <w:rPr>
          <w:b/>
          <w:bCs/>
        </w:rPr>
        <w:t xml:space="preserve">Azure, AWS, GCP, OCI, and VMware</w:t>
      </w:r>
      <w:r>
        <w:t xml:space="preserve"> </w:t>
      </w:r>
      <w:r>
        <w:t xml:space="preserve">— the series’</w:t>
      </w:r>
      <w:r>
        <w:t xml:space="preserve"> </w:t>
      </w:r>
      <w:r>
        <w:rPr>
          <w:i/>
          <w:iCs/>
        </w:rPr>
        <w:t xml:space="preserve">one</w:t>
      </w:r>
      <w:r>
        <w:rPr>
          <w:i/>
          <w:iCs/>
        </w:rPr>
        <w:t xml:space="preserve"> </w:t>
      </w:r>
      <w:r>
        <w:rPr>
          <w:i/>
          <w:iCs/>
        </w:rPr>
        <w:t xml:space="preserve">deliberate multi-CSP breadth exception</w:t>
      </w:r>
      <w:r>
        <w:t xml:space="preserve"> </w:t>
      </w:r>
      <w:r>
        <w:t xml:space="preserve">(by author direction), with ServiceNow</w:t>
      </w:r>
      <w:r>
        <w:t xml:space="preserve"> </w:t>
      </w:r>
      <w:r>
        <w:t xml:space="preserve">as the governed front door for DDI change (the InfoBlox DDI kit, bound in as a</w:t>
      </w:r>
      <w:r>
        <w:t xml:space="preserve"> </w:t>
      </w:r>
      <w:r>
        <w:t xml:space="preserve">named volume).</w:t>
      </w:r>
    </w:p>
    <w:p>
      <w:pPr>
        <w:pStyle w:val="Compact"/>
        <w:numPr>
          <w:ilvl w:val="0"/>
          <w:numId w:val="1003"/>
        </w:numPr>
      </w:pPr>
      <w:r>
        <w:rPr>
          <w:b/>
          <w:bCs/>
        </w:rPr>
        <w:t xml:space="preserve">Volume IX — ServiceNow Day-2 Operations.</w:t>
      </w:r>
      <w:r>
        <w:t xml:space="preserve"> </w:t>
      </w:r>
      <w:r>
        <w:t xml:space="preserve">The governed catalog for routine</w:t>
      </w:r>
      <w:r>
        <w:t xml:space="preserve"> </w:t>
      </w:r>
      <w:r>
        <w:t xml:space="preserve">Entra/M365/Azure day-2 work — helpdesk, the landing-zone front door,</w:t>
      </w:r>
      <w:r>
        <w:t xml:space="preserve"> </w:t>
      </w:r>
      <w:r>
        <w:t xml:space="preserve">app-registration governance, and Teams telephony — extending the Vol VII</w:t>
      </w:r>
      <w:r>
        <w:t xml:space="preserve"> </w:t>
      </w:r>
      <w:r>
        <w:t xml:space="preserve">discipline from compliance drift to everyday operations.</w:t>
      </w:r>
    </w:p>
    <w:p>
      <w:pPr>
        <w:pStyle w:val="Compact"/>
        <w:numPr>
          <w:ilvl w:val="0"/>
          <w:numId w:val="1003"/>
        </w:numPr>
      </w:pPr>
      <w:r>
        <w:rPr>
          <w:b/>
          <w:bCs/>
        </w:rPr>
        <w:t xml:space="preserve">Volume X — Governance-Substrate Integration.</w:t>
      </w:r>
      <w:r>
        <w:t xml:space="preserve"> </w:t>
      </w:r>
      <w:r>
        <w:t xml:space="preserve">The optional closing layer:</w:t>
      </w:r>
      <w:r>
        <w:t xml:space="preserve"> </w:t>
      </w:r>
      <w:r>
        <w:t xml:space="preserve">where everything the volumes above produce lands as machine-checked evidence</w:t>
      </w:r>
      <w:r>
        <w:t xml:space="preserve"> </w:t>
      </w:r>
      <w:r>
        <w:t xml:space="preserve">on the governance substrate — adoptable late or never, with no rework (see</w:t>
      </w:r>
      <w:r>
        <w:t xml:space="preserve"> </w:t>
      </w:r>
      <w:r>
        <w:t xml:space="preserve">the Vol X row in the series table below and the separability statement that</w:t>
      </w:r>
      <w:r>
        <w:t xml:space="preserve"> </w:t>
      </w:r>
      <w:r>
        <w:t xml:space="preserve">follows it).</w:t>
      </w:r>
    </w:p>
    <w:p>
      <w:pPr>
        <w:pStyle w:val="FirstParagraph"/>
      </w:pPr>
      <w:r>
        <w:rPr>
          <w:b/>
          <w:bCs/>
        </w:rPr>
        <w:t xml:space="preserve">Reconciliation of the headline figures (unchanged where it matters):</w:t>
      </w:r>
    </w:p>
    <w:p>
      <w:pPr>
        <w:pStyle w:val="Compact"/>
        <w:numPr>
          <w:ilvl w:val="0"/>
          <w:numId w:val="1004"/>
        </w:numPr>
      </w:pPr>
      <w:r>
        <w:rPr>
          <w:b/>
          <w:bCs/>
        </w:rPr>
        <w:t xml:space="preserve">“34 distinct controls”</w:t>
      </w:r>
      <w:r>
        <w:rPr>
          <w:b/>
          <w:bCs/>
        </w:rPr>
        <w:t xml:space="preserve"> </w:t>
      </w:r>
      <w:r>
        <w:rPr>
          <w:b/>
          <w:bCs/>
        </w:rPr>
        <w:t xml:space="preserve">and</w:t>
      </w:r>
      <w:r>
        <w:rPr>
          <w:b/>
          <w:bCs/>
        </w:rPr>
        <w:t xml:space="preserve"> </w:t>
      </w:r>
      <w:r>
        <w:rPr>
          <w:b/>
          <w:bCs/>
        </w:rPr>
        <w:t xml:space="preserve">“29 KSI rules”</w:t>
      </w:r>
      <w:r>
        <w:t xml:space="preserve"> </w:t>
      </w:r>
      <w:r>
        <w:t xml:space="preserve">remain the closure arithmetic of</w:t>
      </w:r>
      <w:r>
        <w:t xml:space="preserve"> </w:t>
      </w:r>
      <w:r>
        <w:t xml:space="preserve">the</w:t>
      </w:r>
      <w:r>
        <w:t xml:space="preserve"> </w:t>
      </w:r>
      <w:r>
        <w:rPr>
          <w:i/>
          <w:iCs/>
        </w:rPr>
        <w:t xml:space="preserve">architecture</w:t>
      </w:r>
      <w:r>
        <w:t xml:space="preserve"> </w:t>
      </w:r>
      <w:r>
        <w:t xml:space="preserve">corpus (the original six tracks and the series’ internal</w:t>
      </w:r>
      <w:r>
        <w:t xml:space="preserve"> </w:t>
      </w:r>
      <w:r>
        <w:t xml:space="preserve">KSI decomposition).</w:t>
      </w:r>
      <w:r>
        <w:t xml:space="preserve"> </w:t>
      </w:r>
      <w:r>
        <w:t xml:space="preserve">Volumes VI–IX</w:t>
      </w:r>
      <w:r>
        <w:t xml:space="preserve"> </w:t>
      </w:r>
      <w:r>
        <w:rPr>
          <w:b/>
          <w:bCs/>
        </w:rPr>
        <w:t xml:space="preserve">do not, in the main, close new control numbers</w:t>
      </w:r>
      <w:r>
        <w:t xml:space="preserve"> </w:t>
      </w:r>
      <w:r>
        <w:t xml:space="preserve">— they</w:t>
      </w:r>
      <w:r>
        <w:t xml:space="preserve"> </w:t>
      </w:r>
      <w:r>
        <w:rPr>
          <w:i/>
          <w:iCs/>
        </w:rPr>
        <w:t xml:space="preserve">deploy, coordinate, evidence, and operate</w:t>
      </w:r>
      <w:r>
        <w:t xml:space="preserve"> </w:t>
      </w:r>
      <w:r>
        <w:t xml:space="preserve">controls the architecture volumes</w:t>
      </w:r>
      <w:r>
        <w:t xml:space="preserve"> </w:t>
      </w:r>
      <w:r>
        <w:t xml:space="preserve">already close. The single genuinely-new control number they add is</w:t>
      </w:r>
      <w:r>
        <w:t xml:space="preserve"> </w:t>
      </w:r>
      <w:r>
        <w:rPr>
          <w:b/>
          <w:bCs/>
        </w:rPr>
        <w:t xml:space="preserve">CM-5</w:t>
      </w:r>
      <w:r>
        <w:t xml:space="preserve"> </w:t>
      </w:r>
      <w:r>
        <w:t xml:space="preserve">(separation-of-duties over DDI change, Vol VIII). The full per-control view,</w:t>
      </w:r>
      <w:r>
        <w:t xml:space="preserve"> </w:t>
      </w:r>
      <w:r>
        <w:t xml:space="preserve">including every Vol VI/VII/VIII/IX contribution, lives in the</w:t>
      </w:r>
      <w:r>
        <w:t xml:space="preserve"> </w:t>
      </w:r>
      <w:r>
        <w:rPr>
          <w:b/>
          <w:bCs/>
        </w:rPr>
        <w:t xml:space="preserve">Series Control</w:t>
      </w:r>
      <w:r>
        <w:rPr>
          <w:b/>
          <w:bCs/>
        </w:rPr>
        <w:t xml:space="preserve"> </w:t>
      </w:r>
      <w:r>
        <w:rPr>
          <w:b/>
          <w:bCs/>
        </w:rPr>
        <w:t xml:space="preserve">Crosswalk</w:t>
      </w:r>
      <w:r>
        <w:t xml:space="preserve"> </w:t>
      </w:r>
      <w:r>
        <w:t xml:space="preserve">(Vol 0’s appendix), whose series total moved from 145 to 146</w:t>
      </w:r>
      <w:r>
        <w:t xml:space="preserve"> </w:t>
      </w:r>
      <w:r>
        <w:t xml:space="preserve">distinct controls for exactly that CM-5 reason.</w:t>
      </w:r>
    </w:p>
    <w:p>
      <w:pPr>
        <w:pStyle w:val="Compact"/>
        <w:numPr>
          <w:ilvl w:val="0"/>
          <w:numId w:val="1004"/>
        </w:numPr>
      </w:pPr>
      <w:r>
        <w:rPr>
          <w:b/>
          <w:bCs/>
        </w:rPr>
        <w:t xml:space="preserve">The scope parameter is unchanged: FedRAMP Moderate &amp; Microsoft GCC Moderate.</w:t>
      </w:r>
      <w:r>
        <w:t xml:space="preserve"> </w:t>
      </w:r>
      <w:r>
        <w:t xml:space="preserve">Volume VIII’s multi-CSP DDI breadth is the sole, author-directed exception;</w:t>
      </w:r>
      <w:r>
        <w:t xml:space="preserve"> </w:t>
      </w:r>
      <w:r>
        <w:t xml:space="preserve">every other volume holds the Moderate boundary.</w:t>
      </w:r>
    </w:p>
    <w:bookmarkEnd w:id="13"/>
    <w:p>
      <w:r>
        <w:pict>
          <v:rect style="width:0;height:1.5pt" o:hralign="center" o:hrstd="t" o:hr="t"/>
        </w:pict>
      </w:r>
    </w:p>
    <w:p>
      <w:pPr>
        <w:pStyle w:val="FirstParagraph"/>
      </w:pPr>
      <w:r>
        <w:rPr>
          <w:b/>
          <w:bCs/>
        </w:rPr>
        <w:t xml:space="preserve">For authorizing officials, program executives, and budget decision makers.</w:t>
      </w:r>
    </w:p>
    <w:p>
      <w:pPr>
        <w:pStyle w:val="BodyText"/>
      </w:pPr>
      <w:r>
        <w:t xml:space="preserve">This series comprises twenty-three companion implementation guides for the Federal Compliance program, organized across Volumes I–IV:</w:t>
      </w:r>
    </w:p>
    <w:p>
      <w:pPr>
        <w:pStyle w:val="BodyText"/>
      </w:pPr>
      <w:r>
        <w:rPr>
          <w:b/>
          <w:bCs/>
        </w:rPr>
        <w:t xml:space="preserve">Vol I Books 01–04 — Substrate</w:t>
      </w:r>
      <w:r>
        <w:t xml:space="preserve"> </w:t>
      </w:r>
      <w:r>
        <w:t xml:space="preserve">(naming, identity, and trust foundations):</w:t>
      </w:r>
    </w:p>
    <w:p>
      <w:pPr>
        <w:pStyle w:val="Compact"/>
        <w:numPr>
          <w:ilvl w:val="0"/>
          <w:numId w:val="1005"/>
        </w:numPr>
      </w:pPr>
      <w:r>
        <w:rPr>
          <w:b/>
          <w:bCs/>
        </w:rPr>
        <w:t xml:space="preserve">Vol I Book 01</w:t>
      </w:r>
      <w:r>
        <w:t xml:space="preserve"> </w:t>
      </w:r>
      <w:r>
        <w:t xml:space="preserve">— DDI/IPAM naming-and-addressing plane — 18 NIST SP 800-53 Rev 5 controls</w:t>
      </w:r>
    </w:p>
    <w:p>
      <w:pPr>
        <w:pStyle w:val="Compact"/>
        <w:numPr>
          <w:ilvl w:val="0"/>
          <w:numId w:val="1005"/>
        </w:numPr>
      </w:pPr>
      <w:r>
        <w:rPr>
          <w:b/>
          <w:bCs/>
        </w:rPr>
        <w:t xml:space="preserve">Vol I Book 02</w:t>
      </w:r>
      <w:r>
        <w:t xml:space="preserve"> </w:t>
      </w:r>
      <w:r>
        <w:t xml:space="preserve">— Network Access Control (802.1X EAP-TLS, RADIUS, device identity at the port)</w:t>
      </w:r>
    </w:p>
    <w:p>
      <w:pPr>
        <w:pStyle w:val="Compact"/>
        <w:numPr>
          <w:ilvl w:val="0"/>
          <w:numId w:val="1005"/>
        </w:numPr>
      </w:pPr>
      <w:r>
        <w:rPr>
          <w:b/>
          <w:bCs/>
        </w:rPr>
        <w:t xml:space="preserve">Vol I Book 03</w:t>
      </w:r>
      <w:r>
        <w:t xml:space="preserve"> </w:t>
      </w:r>
      <w:r>
        <w:t xml:space="preserve">— Certificates &amp; Tokens — the cryptographic identity layer every session-less architecture depends on</w:t>
      </w:r>
    </w:p>
    <w:p>
      <w:pPr>
        <w:pStyle w:val="Compact"/>
        <w:numPr>
          <w:ilvl w:val="0"/>
          <w:numId w:val="1005"/>
        </w:numPr>
      </w:pPr>
      <w:r>
        <w:rPr>
          <w:b/>
          <w:bCs/>
        </w:rPr>
        <w:t xml:space="preserve">Vol I Book 04</w:t>
      </w:r>
      <w:r>
        <w:t xml:space="preserve"> </w:t>
      </w:r>
      <w:r>
        <w:t xml:space="preserve">— OPM HRIT Identity &amp; Org SSOT — the HR system of record whose worker records underpin every token, account, and access decision</w:t>
      </w:r>
    </w:p>
    <w:p>
      <w:pPr>
        <w:pStyle w:val="FirstParagraph"/>
      </w:pPr>
      <w:r>
        <w:rPr>
          <w:b/>
          <w:bCs/>
        </w:rPr>
        <w:t xml:space="preserve">Vol I Books 05–06 and Vol II — Modernization Tracks</w:t>
      </w:r>
      <w:r>
        <w:t xml:space="preserve"> </w:t>
      </w:r>
      <w:r>
        <w:t xml:space="preserve">— closing</w:t>
      </w:r>
      <w:r>
        <w:t xml:space="preserve"> </w:t>
      </w:r>
      <w:r>
        <w:rPr>
          <w:b/>
          <w:bCs/>
        </w:rPr>
        <w:t xml:space="preserve">34 distinct NIST SP 800-53 Rev 5 controls</w:t>
      </w:r>
      <w:r>
        <w:t xml:space="preserve"> </w:t>
      </w:r>
      <w:r>
        <w:t xml:space="preserve">across the original six tracks:</w:t>
      </w:r>
    </w:p>
    <w:p>
      <w:pPr>
        <w:pStyle w:val="Compact"/>
        <w:numPr>
          <w:ilvl w:val="0"/>
          <w:numId w:val="1006"/>
        </w:numPr>
      </w:pPr>
      <w:r>
        <w:rPr>
          <w:b/>
          <w:bCs/>
        </w:rPr>
        <w:t xml:space="preserve">Vol I Book 05</w:t>
      </w:r>
      <w:r>
        <w:t xml:space="preserve"> </w:t>
      </w:r>
      <w:r>
        <w:t xml:space="preserve">— Network and Identity Modernization (Entra ID, ZTNA, Drift Reconciliation)</w:t>
      </w:r>
    </w:p>
    <w:p>
      <w:pPr>
        <w:pStyle w:val="Compact"/>
        <w:numPr>
          <w:ilvl w:val="0"/>
          <w:numId w:val="1006"/>
        </w:numPr>
      </w:pPr>
      <w:r>
        <w:rPr>
          <w:b/>
          <w:bCs/>
        </w:rPr>
        <w:t xml:space="preserve">Vol I Book 06</w:t>
      </w:r>
      <w:r>
        <w:t xml:space="preserve"> </w:t>
      </w:r>
      <w:r>
        <w:t xml:space="preserve">— Federal Telecommunications Modernization (SD-WAN, SASE)</w:t>
      </w:r>
    </w:p>
    <w:p>
      <w:pPr>
        <w:pStyle w:val="Compact"/>
        <w:numPr>
          <w:ilvl w:val="0"/>
          <w:numId w:val="1006"/>
        </w:numPr>
      </w:pPr>
      <w:r>
        <w:rPr>
          <w:b/>
          <w:bCs/>
        </w:rPr>
        <w:t xml:space="preserve">Vol I Book 07</w:t>
      </w:r>
      <w:r>
        <w:t xml:space="preserve"> </w:t>
      </w:r>
      <w:r>
        <w:t xml:space="preserve">— Network Enforcement Substrate</w:t>
      </w:r>
      <w:r>
        <w:t xml:space="preserve"> </w:t>
      </w:r>
      <w:r>
        <w:rPr>
          <w:i/>
          <w:iCs/>
        </w:rPr>
        <w:t xml:space="preserve">(extension: customer-edge SC-7/SC-8/IA-3 via the NIAP/STIG/FIPS/APL gate)</w:t>
      </w:r>
    </w:p>
    <w:p>
      <w:pPr>
        <w:pStyle w:val="Compact"/>
        <w:numPr>
          <w:ilvl w:val="0"/>
          <w:numId w:val="1006"/>
        </w:numPr>
      </w:pPr>
      <w:r>
        <w:rPr>
          <w:b/>
          <w:bCs/>
        </w:rPr>
        <w:t xml:space="preserve">Vol II Books 01–02</w:t>
      </w:r>
      <w:r>
        <w:t xml:space="preserve"> </w:t>
      </w:r>
      <w:r>
        <w:t xml:space="preserve">— SQL Server Authentication Modernization and Implementation Guide</w:t>
      </w:r>
    </w:p>
    <w:p>
      <w:pPr>
        <w:pStyle w:val="Compact"/>
        <w:numPr>
          <w:ilvl w:val="0"/>
          <w:numId w:val="1006"/>
        </w:numPr>
      </w:pPr>
      <w:r>
        <w:rPr>
          <w:b/>
          <w:bCs/>
        </w:rPr>
        <w:t xml:space="preserve">Vol II Book 03</w:t>
      </w:r>
      <w:r>
        <w:t xml:space="preserve"> </w:t>
      </w:r>
      <w:r>
        <w:t xml:space="preserve">— Database Consolidation and Network Physics</w:t>
      </w:r>
    </w:p>
    <w:p>
      <w:pPr>
        <w:pStyle w:val="FirstParagraph"/>
      </w:pPr>
      <w:r>
        <w:rPr>
          <w:b/>
          <w:bCs/>
        </w:rPr>
        <w:t xml:space="preserve">Vol III and Vol IV Book 01 — Security Operations</w:t>
      </w:r>
      <w:r>
        <w:t xml:space="preserve"> </w:t>
      </w:r>
      <w:r>
        <w:t xml:space="preserve">— approximately</w:t>
      </w:r>
      <w:r>
        <w:t xml:space="preserve"> </w:t>
      </w:r>
      <w:r>
        <w:rPr>
          <w:b/>
          <w:bCs/>
        </w:rPr>
        <w:t xml:space="preserve">55 additional controls</w:t>
      </w:r>
      <w:r>
        <w:t xml:space="preserve"> </w:t>
      </w:r>
      <w:r>
        <w:t xml:space="preserve">across the AC, RA, MP, SC, AU, SI, IR, and CP families:</w:t>
      </w:r>
    </w:p>
    <w:p>
      <w:pPr>
        <w:pStyle w:val="Compact"/>
        <w:numPr>
          <w:ilvl w:val="0"/>
          <w:numId w:val="1007"/>
        </w:numPr>
      </w:pPr>
      <w:r>
        <w:rPr>
          <w:b/>
          <w:bCs/>
        </w:rPr>
        <w:t xml:space="preserve">Vol III Book 01</w:t>
      </w:r>
      <w:r>
        <w:t xml:space="preserve"> </w:t>
      </w:r>
      <w:r>
        <w:t xml:space="preserve">— Privileged Access Management</w:t>
      </w:r>
    </w:p>
    <w:p>
      <w:pPr>
        <w:pStyle w:val="Compact"/>
        <w:numPr>
          <w:ilvl w:val="0"/>
          <w:numId w:val="1007"/>
        </w:numPr>
      </w:pPr>
      <w:r>
        <w:rPr>
          <w:b/>
          <w:bCs/>
        </w:rPr>
        <w:t xml:space="preserve">Vol III Book 02</w:t>
      </w:r>
      <w:r>
        <w:t xml:space="preserve"> </w:t>
      </w:r>
      <w:r>
        <w:t xml:space="preserve">— Vulnerability Management</w:t>
      </w:r>
    </w:p>
    <w:p>
      <w:pPr>
        <w:pStyle w:val="Compact"/>
        <w:numPr>
          <w:ilvl w:val="0"/>
          <w:numId w:val="1007"/>
        </w:numPr>
      </w:pPr>
      <w:r>
        <w:rPr>
          <w:b/>
          <w:bCs/>
        </w:rPr>
        <w:t xml:space="preserve">Vol III Book 03</w:t>
      </w:r>
      <w:r>
        <w:t xml:space="preserve"> </w:t>
      </w:r>
      <w:r>
        <w:t xml:space="preserve">— Patch &amp; Systems Management</w:t>
      </w:r>
      <w:r>
        <w:t xml:space="preserve"> </w:t>
      </w:r>
      <w:r>
        <w:rPr>
          <w:i/>
          <w:iCs/>
        </w:rPr>
        <w:t xml:space="preserve">(extension: multi-CSP SI-2/CM)</w:t>
      </w:r>
    </w:p>
    <w:p>
      <w:pPr>
        <w:pStyle w:val="Compact"/>
        <w:numPr>
          <w:ilvl w:val="0"/>
          <w:numId w:val="1007"/>
        </w:numPr>
      </w:pPr>
      <w:r>
        <w:rPr>
          <w:b/>
          <w:bCs/>
        </w:rPr>
        <w:t xml:space="preserve">Vol III Book 04</w:t>
      </w:r>
      <w:r>
        <w:t xml:space="preserve"> </w:t>
      </w:r>
      <w:r>
        <w:t xml:space="preserve">— Cloud-Native Security Posture &amp; Containers</w:t>
      </w:r>
      <w:r>
        <w:t xml:space="preserve"> </w:t>
      </w:r>
      <w:r>
        <w:rPr>
          <w:i/>
          <w:iCs/>
        </w:rPr>
        <w:t xml:space="preserve">(extension: CSPM/CNAPP/K8s)</w:t>
      </w:r>
    </w:p>
    <w:p>
      <w:pPr>
        <w:pStyle w:val="Compact"/>
        <w:numPr>
          <w:ilvl w:val="0"/>
          <w:numId w:val="1007"/>
        </w:numPr>
      </w:pPr>
      <w:r>
        <w:rPr>
          <w:b/>
          <w:bCs/>
        </w:rPr>
        <w:t xml:space="preserve">Vol III Book 05</w:t>
      </w:r>
      <w:r>
        <w:t xml:space="preserve"> </w:t>
      </w:r>
      <w:r>
        <w:t xml:space="preserve">— Data Protection and Purview</w:t>
      </w:r>
    </w:p>
    <w:p>
      <w:pPr>
        <w:pStyle w:val="Compact"/>
        <w:numPr>
          <w:ilvl w:val="0"/>
          <w:numId w:val="1007"/>
        </w:numPr>
      </w:pPr>
      <w:r>
        <w:rPr>
          <w:b/>
          <w:bCs/>
        </w:rPr>
        <w:t xml:space="preserve">Vol III Book 06</w:t>
      </w:r>
      <w:r>
        <w:t xml:space="preserve"> </w:t>
      </w:r>
      <w:r>
        <w:t xml:space="preserve">— SIEM/XDR Detection Engineering</w:t>
      </w:r>
    </w:p>
    <w:p>
      <w:pPr>
        <w:pStyle w:val="Compact"/>
        <w:numPr>
          <w:ilvl w:val="0"/>
          <w:numId w:val="1007"/>
        </w:numPr>
      </w:pPr>
      <w:r>
        <w:rPr>
          <w:b/>
          <w:bCs/>
        </w:rPr>
        <w:t xml:space="preserve">Vol III Book 07</w:t>
      </w:r>
      <w:r>
        <w:t xml:space="preserve"> </w:t>
      </w:r>
      <w:r>
        <w:t xml:space="preserve">— Multi-Cloud Evidence Fabric</w:t>
      </w:r>
      <w:r>
        <w:t xml:space="preserve"> </w:t>
      </w:r>
      <w:r>
        <w:rPr>
          <w:i/>
          <w:iCs/>
        </w:rPr>
        <w:t xml:space="preserve">(extension: telemetry → CDM → KSI)</w:t>
      </w:r>
    </w:p>
    <w:p>
      <w:pPr>
        <w:pStyle w:val="Compact"/>
        <w:numPr>
          <w:ilvl w:val="0"/>
          <w:numId w:val="1007"/>
        </w:numPr>
      </w:pPr>
      <w:r>
        <w:rPr>
          <w:b/>
          <w:bCs/>
        </w:rPr>
        <w:t xml:space="preserve">Vol IV Book 01</w:t>
      </w:r>
      <w:r>
        <w:t xml:space="preserve"> </w:t>
      </w:r>
      <w:r>
        <w:t xml:space="preserve">— Business Continuity</w:t>
      </w:r>
    </w:p>
    <w:p>
      <w:pPr>
        <w:pStyle w:val="FirstParagraph"/>
      </w:pPr>
      <w:r>
        <w:rPr>
          <w:b/>
          <w:bCs/>
        </w:rPr>
        <w:t xml:space="preserve">Vol IV Books 02–04 — Risk and Program Governance</w:t>
      </w:r>
      <w:r>
        <w:t xml:space="preserve"> </w:t>
      </w:r>
      <w:r>
        <w:t xml:space="preserve">(SR, PM, and PT control families):</w:t>
      </w:r>
    </w:p>
    <w:p>
      <w:pPr>
        <w:pStyle w:val="Compact"/>
        <w:numPr>
          <w:ilvl w:val="0"/>
          <w:numId w:val="1008"/>
        </w:numPr>
      </w:pPr>
      <w:r>
        <w:rPr>
          <w:b/>
          <w:bCs/>
        </w:rPr>
        <w:t xml:space="preserve">Vol IV Book 02</w:t>
      </w:r>
      <w:r>
        <w:t xml:space="preserve"> </w:t>
      </w:r>
      <w:r>
        <w:t xml:space="preserve">— Supply Chain Risk Management (SBOM/VDR/VEX pipeline)</w:t>
      </w:r>
    </w:p>
    <w:p>
      <w:pPr>
        <w:pStyle w:val="Compact"/>
        <w:numPr>
          <w:ilvl w:val="0"/>
          <w:numId w:val="1008"/>
        </w:numPr>
      </w:pPr>
      <w:r>
        <w:rPr>
          <w:b/>
          <w:bCs/>
        </w:rPr>
        <w:t xml:space="preserve">Vol IV Book 03</w:t>
      </w:r>
      <w:r>
        <w:t xml:space="preserve"> </w:t>
      </w:r>
      <w:r>
        <w:t xml:space="preserve">— Program Management and Governance (POA&amp;M/SCRM/ISPP)</w:t>
      </w:r>
    </w:p>
    <w:p>
      <w:pPr>
        <w:pStyle w:val="Compact"/>
        <w:numPr>
          <w:ilvl w:val="0"/>
          <w:numId w:val="1008"/>
        </w:numPr>
      </w:pPr>
      <w:r>
        <w:rPr>
          <w:b/>
          <w:bCs/>
        </w:rPr>
        <w:t xml:space="preserve">Vol IV Book 04</w:t>
      </w:r>
      <w:r>
        <w:t xml:space="preserve"> </w:t>
      </w:r>
      <w:r>
        <w:t xml:space="preserve">— PII Processing and Transparency (PT family templates, Purview enforcement)</w:t>
      </w:r>
    </w:p>
    <w:p>
      <w:pPr>
        <w:pStyle w:val="FirstParagraph"/>
      </w:pPr>
      <w:r>
        <w:rPr>
          <w:b/>
          <w:bCs/>
        </w:rPr>
        <w:t xml:space="preserve">Vol IV Book 05 — Training and Awareness</w:t>
      </w:r>
      <w:r>
        <w:t xml:space="preserve"> </w:t>
      </w:r>
      <w:r>
        <w:t xml:space="preserve">— AT family cybersecurity training program — activates KSI-022 (KSI-CED-RAT), making all 29 rules in the series’ internal KSI decomposition evaluable at high confidence.</w:t>
      </w:r>
    </w:p>
    <w:p>
      <w:pPr>
        <w:pStyle w:val="BodyText"/>
      </w:pPr>
      <w:r>
        <w:rPr>
          <w:b/>
          <w:bCs/>
        </w:rPr>
        <w:t xml:space="preserve">Vol IV Book 06 — Authorization Package and ConMon</w:t>
      </w:r>
      <w:r>
        <w:t xml:space="preserve"> </w:t>
      </w:r>
      <w:r>
        <w:t xml:space="preserve">— OSCAL AP+AR+POA&amp;M bundle (29/29 rules self-assessed, pending independent security control assessment (SCA)), continuous monitoring program, and FedRAMP VDR/VER submission (NTC-0014) — closing CA-2, CA-5, CA-6, CA-7, RA-3, and SA-15.</w:t>
      </w:r>
    </w:p>
    <w:p>
      <w:r>
        <w:pict>
          <v:rect style="width:0;height:1.5pt" o:hralign="center" o:hrstd="t" o:hr="t"/>
        </w:pict>
      </w:r>
    </w:p>
    <w:p>
      <w:pPr>
        <w:pStyle w:val="FirstParagraph"/>
      </w:pPr>
      <w:r>
        <w:rPr>
          <w:b/>
          <w:bCs/>
        </w:rPr>
        <w:t xml:space="preserve">Together, the twenty-three implementation books constitute the complete evidence-generation and authorization-package layer for the agency’s RMF authorization, with continuous-monitoring evidence structured in the FedRAMP 20x KSI idiom.</w:t>
      </w:r>
      <w:r>
        <w:t xml:space="preserve"> </w:t>
      </w:r>
      <w:r>
        <w:t xml:space="preserve">Each book maps its implementations directly to the NIST SP 800-53 Rev 5 controls it closes, and Vol IV Book 06 assembles those mappings into a machine-readable OSCAL authorization package ready for independent SCA. The FedRAMP cloud services Agency consumes (M365 GCC, AWS GovCloud, DDI SaaS) are inherited as leveraged authorizations; Agency itself does not submit to the FedRAMP PMO.</w:t>
      </w:r>
    </w:p>
    <w:p>
      <w:pPr>
        <w:pStyle w:val="BodyText"/>
      </w:pPr>
      <w:r>
        <w:rPr>
          <w:b/>
          <w:bCs/>
        </w:rPr>
        <w:t xml:space="preserve">Beyond the architecture corpus, five further volumes make it buildable and operable</w:t>
      </w:r>
      <w:r>
        <w:t xml:space="preserve"> </w:t>
      </w:r>
      <w:r>
        <w:t xml:space="preserve">(the eleven-volume series, 0–X):</w:t>
      </w:r>
      <w:r>
        <w:t xml:space="preserve"> </w:t>
      </w:r>
      <w:r>
        <w:rPr>
          <w:b/>
          <w:bCs/>
        </w:rPr>
        <w:t xml:space="preserve">Volume VI</w:t>
      </w:r>
      <w:r>
        <w:t xml:space="preserve"> </w:t>
      </w:r>
      <w:r>
        <w:t xml:space="preserve">deploys the architecture as code (IaC, detection and SOAR libraries, baselines, the evidence pipeline);</w:t>
      </w:r>
      <w:r>
        <w:t xml:space="preserve"> </w:t>
      </w:r>
      <w:r>
        <w:rPr>
          <w:b/>
          <w:bCs/>
        </w:rPr>
        <w:t xml:space="preserve">Volume VII</w:t>
      </w:r>
      <w:r>
        <w:t xml:space="preserve"> </w:t>
      </w:r>
      <w:r>
        <w:t xml:space="preserve">coordinates M365/Azure control state into tracked ServiceNow tasks and KSI evidence;</w:t>
      </w:r>
      <w:r>
        <w:t xml:space="preserve"> </w:t>
      </w:r>
      <w:r>
        <w:rPr>
          <w:b/>
          <w:bCs/>
        </w:rPr>
        <w:t xml:space="preserve">Volume VIII</w:t>
      </w:r>
      <w:r>
        <w:t xml:space="preserve"> </w:t>
      </w:r>
      <w:r>
        <w:t xml:space="preserve">realizes the DDI naming plane across every cloud (Azure, AWS, GCP, OCI, VMware — the one deliberate multi-CSP exception); and</w:t>
      </w:r>
      <w:r>
        <w:t xml:space="preserve"> </w:t>
      </w:r>
      <w:r>
        <w:rPr>
          <w:b/>
          <w:bCs/>
        </w:rPr>
        <w:t xml:space="preserve">Volume IX</w:t>
      </w:r>
      <w:r>
        <w:t xml:space="preserve"> </w:t>
      </w:r>
      <w:r>
        <w:t xml:space="preserve">governs routine day-2 operations (helpdesk, landing-zone front door, app-registration, Teams telephony) through the same ServiceNow discipline;</w:t>
      </w:r>
      <w:r>
        <w:t xml:space="preserve"> </w:t>
      </w:r>
      <w:r>
        <w:rPr>
          <w:b/>
          <w:bCs/>
        </w:rPr>
        <w:t xml:space="preserve">Volume X</w:t>
      </w:r>
      <w:r>
        <w:t xml:space="preserve"> </w:t>
      </w:r>
      <w:r>
        <w:t xml:space="preserve">documents where the series’ evidence lands on the governance substrate — an</w:t>
      </w:r>
      <w:r>
        <w:t xml:space="preserve"> </w:t>
      </w:r>
      <w:r>
        <w:rPr>
          <w:b/>
          <w:bCs/>
        </w:rPr>
        <w:t xml:space="preserve">optional, separable binding</w:t>
      </w:r>
      <w:r>
        <w:t xml:space="preserve"> </w:t>
      </w:r>
      <w:r>
        <w:t xml:space="preserve">the series never depends on. These volumes deploy, coordinate, and operate the controls the architecture closes rather than closing new ones — see</w:t>
      </w:r>
      <w:r>
        <w:t xml:space="preserve"> </w:t>
      </w:r>
      <w:r>
        <w:rPr>
          <w:i/>
          <w:iCs/>
        </w:rPr>
        <w:t xml:space="preserve">Series Extension II</w:t>
      </w:r>
      <w:r>
        <w:t xml:space="preserve"> </w:t>
      </w:r>
      <w:r>
        <w:t xml:space="preserve">above and the Series Control Crosswalk appendix for the full per-control view.</w:t>
      </w:r>
    </w:p>
    <w:p>
      <w:pPr>
        <w:pStyle w:val="BodyText"/>
      </w:pPr>
      <w:r>
        <w:t xml:space="preserve">Three technologies recur throughout the series as the</w:t>
      </w:r>
      <w:r>
        <w:t xml:space="preserve"> </w:t>
      </w:r>
      <w:r>
        <w:rPr>
          <w:b/>
          <w:bCs/>
        </w:rPr>
        <w:t xml:space="preserve">only</w:t>
      </w:r>
      <w:r>
        <w:t xml:space="preserve"> </w:t>
      </w:r>
      <w:r>
        <w:t xml:space="preserve">closure mechanisms for their control sets — not the preferred options among several:</w:t>
      </w:r>
      <w:r>
        <w:t xml:space="preserve"> </w:t>
      </w:r>
      <w:r>
        <w:rPr>
          <w:b/>
          <w:bCs/>
        </w:rPr>
        <w:t xml:space="preserve">IPAM/DDI</w:t>
      </w:r>
      <w:r>
        <w:t xml:space="preserve"> </w:t>
      </w:r>
      <w:r>
        <w:t xml:space="preserve">(the authoritative naming-and-addressing plane),</w:t>
      </w:r>
      <w:r>
        <w:t xml:space="preserve"> </w:t>
      </w:r>
      <w:r>
        <w:rPr>
          <w:b/>
          <w:bCs/>
        </w:rPr>
        <w:t xml:space="preserve">SD-WAN</w:t>
      </w:r>
      <w:r>
        <w:t xml:space="preserve"> </w:t>
      </w:r>
      <w:r>
        <w:t xml:space="preserve">(the encrypted, application-aware transport overlay), and</w:t>
      </w:r>
      <w:r>
        <w:t xml:space="preserve"> </w:t>
      </w:r>
      <w:r>
        <w:rPr>
          <w:b/>
          <w:bCs/>
        </w:rPr>
        <w:t xml:space="preserve">TIC 3.0</w:t>
      </w:r>
      <w:r>
        <w:t xml:space="preserve"> </w:t>
      </w:r>
      <w:r>
        <w:t xml:space="preserve">(the distributed policy enforcement that makes direct internet access lawful). The Closure Necessity Doctrine below states the claim; the KSI Closure Necessity Matrix quantifies it against all 29 rules in the series’ internal KSI decomposition.</w:t>
      </w:r>
    </w:p>
    <w:p>
      <w:pPr>
        <w:pStyle w:val="BodyText"/>
      </w:pPr>
      <w:r>
        <w:t xml:space="preserve">The central finding across all six documents is the same:</w:t>
      </w:r>
      <w:r>
        <w:t xml:space="preserve"> </w:t>
      </w:r>
      <w:r>
        <w:rPr>
          <w:b/>
          <w:bCs/>
        </w:rPr>
        <w:t xml:space="preserve">the compliance debt is not a resource shortage — it is an architectural pattern mismatch.</w:t>
      </w:r>
      <w:r>
        <w:t xml:space="preserve"> </w:t>
      </w:r>
      <w:r>
        <w:t xml:space="preserve">The existing infrastructure was designed for a world where compute, identity, and communication were co-located inside a perimeter. That world ended between 2015 and 2020. The controls that federal agencies are now required to satisfy under Zero Trust Executive Order 14028, OMB M-22-09, TIC 3.0, and FedRAMP 20x Consolidated Rules (June 25, 2026) cannot be satisfied by the perimeter architecture. They require a different structural foundation.</w:t>
      </w:r>
    </w:p>
    <w:p>
      <w:pPr>
        <w:pStyle w:val="BodyText"/>
      </w:pPr>
      <w:r>
        <w:rPr>
          <w:b/>
          <w:bCs/>
        </w:rPr>
        <w:t xml:space="preserve">The twenty-three implementations described in this series are not optional modernization projects.</w:t>
      </w:r>
      <w:r>
        <w:t xml:space="preserve"> </w:t>
      </w:r>
      <w:r>
        <w:t xml:space="preserve">They are the structural prerequisites for an agency Moderate authorization whose evidence survives the FedRAMP 20x transition. CR26 is mandatory for the cloud service offerings Agency inherits effective January 1, 2027; Agency’s obligation is to ensure inherited services are on the 20x path and to structure its own ConMon evidence on the same KSI schema so inheritance stays clean.</w:t>
      </w:r>
    </w:p>
    <w:p>
      <w:r>
        <w:pict>
          <v:rect style="width:0;height:1.5pt" o:hralign="center" o:hrstd="t" o:hr="t"/>
        </w:pict>
      </w:r>
    </w:p>
    <w:bookmarkStart w:id="14" w:name="series-overview"/>
    <w:p>
      <w:pPr>
        <w:pStyle w:val="Heading2"/>
      </w:pPr>
      <w:r>
        <w:t xml:space="preserve">Series Overview</w:t>
      </w:r>
    </w:p>
    <w:p>
      <w:pPr>
        <w:pStyle w:val="TableCaption"/>
      </w:pPr>
      <w:r>
        <w:t xml:space="preserve">Federal Compliance Series — Vols 0–X</w:t>
      </w:r>
    </w:p>
    <w:tbl>
      <w:tblPr>
        <w:tblStyle w:val="Table"/>
        <w:tblW w:type="pct" w:w="5000"/>
        <w:tblLayout w:type="fixed"/>
        <w:tblLook w:firstRow="1" w:lastRow="0" w:firstColumn="0" w:lastColumn="0" w:noHBand="0" w:noVBand="0" w:val="0020"/>
        <w:tblCaption w:val="Federal Compliance Series — Vols 0–X"/>
      </w:tblPr>
      <w:tblGrid>
        <w:gridCol w:w="1159"/>
        <w:gridCol w:w="1931"/>
        <w:gridCol w:w="1545"/>
        <w:gridCol w:w="3283"/>
      </w:tblGrid>
      <w:tr>
        <w:trPr>
          <w:tblHeader w:val="on"/>
        </w:trPr>
        <w:tc>
          <w:tcPr/>
          <w:p>
            <w:pPr>
              <w:pStyle w:val="Compact"/>
            </w:pPr>
            <w:r>
              <w:t xml:space="preserve">Designation</w:t>
            </w:r>
          </w:p>
        </w:tc>
        <w:tc>
          <w:tcPr/>
          <w:p>
            <w:pPr>
              <w:pStyle w:val="Compact"/>
            </w:pPr>
            <w:r>
              <w:t xml:space="preserve">Document</w:t>
            </w:r>
          </w:p>
        </w:tc>
        <w:tc>
          <w:tcPr/>
          <w:p>
            <w:pPr>
              <w:pStyle w:val="Compact"/>
            </w:pPr>
            <w:r>
              <w:t xml:space="preserve">Domain</w:t>
            </w:r>
          </w:p>
        </w:tc>
        <w:tc>
          <w:tcPr/>
          <w:p>
            <w:pPr>
              <w:pStyle w:val="Compact"/>
            </w:pPr>
            <w:r>
              <w:t xml:space="preserve">Core Technology</w:t>
            </w:r>
          </w:p>
        </w:tc>
      </w:tr>
      <w:tr>
        <w:tc>
          <w:tcPr/>
          <w:p>
            <w:pPr>
              <w:pStyle w:val="Compact"/>
            </w:pPr>
            <w:r>
              <w:t xml:space="preserve">Vol I Book 01</w:t>
            </w:r>
          </w:p>
        </w:tc>
        <w:tc>
          <w:tcPr/>
          <w:p>
            <w:pPr>
              <w:pStyle w:val="Compact"/>
            </w:pPr>
            <w:r>
              <w:t xml:space="preserve">Compliance — Agency Landing Zone IPAM / FedRAMP</w:t>
            </w:r>
          </w:p>
        </w:tc>
        <w:tc>
          <w:tcPr/>
          <w:p>
            <w:pPr>
              <w:pStyle w:val="Compact"/>
            </w:pPr>
            <w:r>
              <w:t xml:space="preserve">DNS · DHCP · IPAM · PKI · Zero Trust</w:t>
            </w:r>
          </w:p>
        </w:tc>
        <w:tc>
          <w:tcPr/>
          <w:p>
            <w:pPr>
              <w:pStyle w:val="Compact"/>
            </w:pPr>
            <w:r>
              <w:t xml:space="preserve">InfoBlox DDI</w:t>
            </w:r>
          </w:p>
        </w:tc>
      </w:tr>
      <w:tr>
        <w:tc>
          <w:tcPr/>
          <w:p>
            <w:pPr>
              <w:pStyle w:val="Compact"/>
            </w:pPr>
            <w:r>
              <w:t xml:space="preserve">Vol I Book 02</w:t>
            </w:r>
          </w:p>
        </w:tc>
        <w:tc>
          <w:tcPr/>
          <w:p>
            <w:pPr>
              <w:pStyle w:val="Compact"/>
            </w:pPr>
            <w:r>
              <w:t xml:space="preserve">Compliance — Network Access Control: 802.1X and Device Identity</w:t>
            </w:r>
          </w:p>
        </w:tc>
        <w:tc>
          <w:tcPr/>
          <w:p>
            <w:pPr>
              <w:pStyle w:val="Compact"/>
            </w:pPr>
            <w:r>
              <w:t xml:space="preserve">802.1X EAP-TLS · RADIUS/CoA · DHCP fingerprinting · NAC policy tiers</w:t>
            </w:r>
          </w:p>
        </w:tc>
        <w:tc>
          <w:tcPr/>
          <w:p>
            <w:pPr>
              <w:pStyle w:val="Compact"/>
            </w:pPr>
            <w:r>
              <w:t xml:space="preserve">802.1X + RADIUS + Intune SCEP</w:t>
            </w:r>
          </w:p>
        </w:tc>
      </w:tr>
      <w:tr>
        <w:tc>
          <w:tcPr/>
          <w:p>
            <w:pPr>
              <w:pStyle w:val="Compact"/>
            </w:pPr>
            <w:r>
              <w:t xml:space="preserve">Vol I Book 03</w:t>
            </w:r>
          </w:p>
        </w:tc>
        <w:tc>
          <w:tcPr/>
          <w:p>
            <w:pPr>
              <w:pStyle w:val="Compact"/>
            </w:pPr>
            <w:r>
              <w:t xml:space="preserve">Compliance — Certificates &amp; Tokens: Cryptographic Identity</w:t>
            </w:r>
          </w:p>
        </w:tc>
        <w:tc>
          <w:tcPr/>
          <w:p>
            <w:pPr>
              <w:pStyle w:val="Compact"/>
            </w:pPr>
            <w:r>
              <w:t xml:space="preserve">PKI lifecycle · ACME automation · OAuth 2.0/OIDC · CBA · workload identity</w:t>
            </w:r>
          </w:p>
        </w:tc>
        <w:tc>
          <w:tcPr/>
          <w:p>
            <w:pPr>
              <w:pStyle w:val="Compact"/>
            </w:pPr>
            <w:r>
              <w:t xml:space="preserve">Entra ID CBA + ACME + managed identity</w:t>
            </w:r>
          </w:p>
        </w:tc>
      </w:tr>
      <w:tr>
        <w:tc>
          <w:tcPr/>
          <w:p>
            <w:pPr>
              <w:pStyle w:val="Compact"/>
            </w:pPr>
            <w:r>
              <w:t xml:space="preserve">Vol I Book 04</w:t>
            </w:r>
          </w:p>
        </w:tc>
        <w:tc>
          <w:tcPr/>
          <w:p>
            <w:pPr>
              <w:pStyle w:val="Compact"/>
            </w:pPr>
            <w:r>
              <w:t xml:space="preserve">Compliance — OPM HRIT and the Identity &amp; Organizational SSOT</w:t>
            </w:r>
          </w:p>
        </w:tc>
        <w:tc>
          <w:tcPr/>
          <w:p>
            <w:pPr>
              <w:pStyle w:val="Compact"/>
            </w:pPr>
            <w:r>
              <w:t xml:space="preserve">HR system of record · joiner/mover/leaver lifecycle · org hierarchy as queryable truth · HR-driven provisioning</w:t>
            </w:r>
          </w:p>
        </w:tc>
        <w:tc>
          <w:tcPr/>
          <w:p>
            <w:pPr>
              <w:pStyle w:val="Compact"/>
            </w:pPr>
            <w:r>
              <w:t xml:space="preserve">Oracle HCM Cloud + Entra inbound provisioning</w:t>
            </w:r>
          </w:p>
        </w:tc>
      </w:tr>
      <w:tr>
        <w:tc>
          <w:tcPr/>
          <w:p>
            <w:pPr>
              <w:pStyle w:val="Compact"/>
            </w:pPr>
            <w:r>
              <w:t xml:space="preserve">Vol I Book 05</w:t>
            </w:r>
          </w:p>
        </w:tc>
        <w:tc>
          <w:tcPr/>
          <w:p>
            <w:pPr>
              <w:pStyle w:val="Compact"/>
            </w:pPr>
            <w:r>
              <w:t xml:space="preserve">Compliance — Network Modernization</w:t>
            </w:r>
          </w:p>
        </w:tc>
        <w:tc>
          <w:tcPr/>
          <w:p>
            <w:pPr>
              <w:pStyle w:val="Compact"/>
            </w:pPr>
            <w:r>
              <w:t xml:space="preserve">Identity · Governance · Active Directory modernization</w:t>
            </w:r>
          </w:p>
        </w:tc>
        <w:tc>
          <w:tcPr/>
          <w:p>
            <w:pPr>
              <w:pStyle w:val="Compact"/>
            </w:pPr>
            <w:r>
              <w:t xml:space="preserve">Entra ID · ZTNA · Drift Reconciliation</w:t>
            </w:r>
          </w:p>
        </w:tc>
      </w:tr>
      <w:tr>
        <w:tc>
          <w:tcPr/>
          <w:p>
            <w:pPr>
              <w:pStyle w:val="Compact"/>
            </w:pPr>
            <w:r>
              <w:t xml:space="preserve">Vol I Book 06</w:t>
            </w:r>
          </w:p>
        </w:tc>
        <w:tc>
          <w:tcPr/>
          <w:p>
            <w:pPr>
              <w:pStyle w:val="Compact"/>
            </w:pPr>
            <w:r>
              <w:t xml:space="preserve">Compliance — Federal Telecommunications Modernization</w:t>
            </w:r>
          </w:p>
        </w:tc>
        <w:tc>
          <w:tcPr/>
          <w:p>
            <w:pPr>
              <w:pStyle w:val="Compact"/>
            </w:pPr>
            <w:r>
              <w:t xml:space="preserve">Amazon Connect · Teams Phone · SD-WAN · SASE</w:t>
            </w:r>
          </w:p>
        </w:tc>
        <w:tc>
          <w:tcPr/>
          <w:p>
            <w:pPr>
              <w:pStyle w:val="Compact"/>
            </w:pPr>
            <w:r>
              <w:t xml:space="preserve">SD-WAN / SASE stack</w:t>
            </w:r>
          </w:p>
        </w:tc>
      </w:tr>
      <w:tr>
        <w:tc>
          <w:tcPr/>
          <w:p>
            <w:pPr>
              <w:pStyle w:val="Compact"/>
            </w:pPr>
            <w:r>
              <w:t xml:space="preserve">Vol I Book 07</w:t>
            </w:r>
          </w:p>
        </w:tc>
        <w:tc>
          <w:tcPr/>
          <w:p>
            <w:pPr>
              <w:pStyle w:val="Compact"/>
            </w:pPr>
            <w:r>
              <w:t xml:space="preserve">Compliance — Network Enforcement Substrate</w:t>
            </w:r>
          </w:p>
        </w:tc>
        <w:tc>
          <w:tcPr/>
          <w:p>
            <w:pPr>
              <w:pStyle w:val="Compact"/>
            </w:pPr>
            <w:r>
              <w:t xml:space="preserve">Customer-owned NGFW/edge · distributed policy enforcement · accreditation gate</w:t>
            </w:r>
          </w:p>
        </w:tc>
        <w:tc>
          <w:tcPr/>
          <w:p>
            <w:pPr>
              <w:pStyle w:val="Compact"/>
            </w:pPr>
            <w:r>
              <w:t xml:space="preserve">Cisco · Palo Alto · Juniper</w:t>
            </w:r>
          </w:p>
        </w:tc>
      </w:tr>
      <w:tr>
        <w:tc>
          <w:tcPr/>
          <w:p>
            <w:pPr>
              <w:pStyle w:val="Compact"/>
            </w:pPr>
            <w:r>
              <w:t xml:space="preserve">Vol II Book 01</w:t>
            </w:r>
          </w:p>
        </w:tc>
        <w:tc>
          <w:tcPr/>
          <w:p>
            <w:pPr>
              <w:pStyle w:val="Compact"/>
            </w:pPr>
            <w:r>
              <w:t xml:space="preserve">Compliance — SQL Server Authentication Modernization</w:t>
            </w:r>
          </w:p>
        </w:tc>
        <w:tc>
          <w:tcPr/>
          <w:p>
            <w:pPr>
              <w:pStyle w:val="Compact"/>
            </w:pPr>
            <w:r>
              <w:t xml:space="preserve">SQL credential elimination · Arc Managed Identity · NTLM elimination</w:t>
            </w:r>
          </w:p>
        </w:tc>
        <w:tc>
          <w:tcPr/>
          <w:p>
            <w:pPr>
              <w:pStyle w:val="Compact"/>
            </w:pPr>
            <w:r>
              <w:t xml:space="preserve">Azure Arc + Entra ID for SQL</w:t>
            </w:r>
          </w:p>
        </w:tc>
      </w:tr>
      <w:tr>
        <w:tc>
          <w:tcPr/>
          <w:p>
            <w:pPr>
              <w:pStyle w:val="Compact"/>
            </w:pPr>
            <w:r>
              <w:t xml:space="preserve">Vol II Book 02</w:t>
            </w:r>
          </w:p>
        </w:tc>
        <w:tc>
          <w:tcPr/>
          <w:p>
            <w:pPr>
              <w:pStyle w:val="Compact"/>
            </w:pPr>
            <w:r>
              <w:t xml:space="preserve">Compliance — SQL Server Implementation Guide</w:t>
            </w:r>
          </w:p>
        </w:tc>
        <w:tc>
          <w:tcPr/>
          <w:p>
            <w:pPr>
              <w:pStyle w:val="Compact"/>
            </w:pPr>
            <w:r>
              <w:t xml:space="preserve">10-book runbook: estate audit, Arc deployment, login migration, monitoring</w:t>
            </w:r>
          </w:p>
        </w:tc>
        <w:tc>
          <w:tcPr/>
          <w:p>
            <w:pPr>
              <w:pStyle w:val="Compact"/>
            </w:pPr>
            <w:r>
              <w:t xml:space="preserve">Azure Arc + Entra ID (implementation)</w:t>
            </w:r>
          </w:p>
        </w:tc>
      </w:tr>
      <w:tr>
        <w:tc>
          <w:tcPr/>
          <w:p>
            <w:pPr>
              <w:pStyle w:val="Compact"/>
            </w:pPr>
            <w:r>
              <w:t xml:space="preserve">Vol II Book 03</w:t>
            </w:r>
          </w:p>
        </w:tc>
        <w:tc>
          <w:tcPr/>
          <w:p>
            <w:pPr>
              <w:pStyle w:val="Compact"/>
            </w:pPr>
            <w:r>
              <w:t xml:space="preserve">Compliance — Database Consolidation and Network Physics</w:t>
            </w:r>
          </w:p>
        </w:tc>
        <w:tc>
          <w:tcPr/>
          <w:p>
            <w:pPr>
              <w:pStyle w:val="Compact"/>
            </w:pPr>
            <w:r>
              <w:t xml:space="preserve">SSOT architecture · SD-WAN for database traffic · consistency class alignment</w:t>
            </w:r>
          </w:p>
        </w:tc>
        <w:tc>
          <w:tcPr/>
          <w:p>
            <w:pPr>
              <w:pStyle w:val="Compact"/>
            </w:pPr>
            <w:r>
              <w:t xml:space="preserve">SQL + Network Physics</w:t>
            </w:r>
          </w:p>
        </w:tc>
      </w:tr>
      <w:tr>
        <w:tc>
          <w:tcPr/>
          <w:p>
            <w:pPr>
              <w:pStyle w:val="Compact"/>
            </w:pPr>
            <w:r>
              <w:t xml:space="preserve">Vol III Book 01</w:t>
            </w:r>
          </w:p>
        </w:tc>
        <w:tc>
          <w:tcPr/>
          <w:p>
            <w:pPr>
              <w:pStyle w:val="Compact"/>
            </w:pPr>
            <w:r>
              <w:t xml:space="preserve">Compliance — Privileged Access Management</w:t>
            </w:r>
          </w:p>
        </w:tc>
        <w:tc>
          <w:tcPr/>
          <w:p>
            <w:pPr>
              <w:pStyle w:val="Compact"/>
            </w:pPr>
            <w:r>
              <w:t xml:space="preserve">Entra PIM JIT activation · PAW architecture · AC-6 least privilege</w:t>
            </w:r>
          </w:p>
        </w:tc>
        <w:tc>
          <w:tcPr/>
          <w:p>
            <w:pPr>
              <w:pStyle w:val="Compact"/>
            </w:pPr>
            <w:r>
              <w:t xml:space="preserve">Entra PIM + PAW</w:t>
            </w:r>
          </w:p>
        </w:tc>
      </w:tr>
      <w:tr>
        <w:tc>
          <w:tcPr/>
          <w:p>
            <w:pPr>
              <w:pStyle w:val="Compact"/>
            </w:pPr>
            <w:r>
              <w:t xml:space="preserve">Vol III Book 02</w:t>
            </w:r>
          </w:p>
        </w:tc>
        <w:tc>
          <w:tcPr/>
          <w:p>
            <w:pPr>
              <w:pStyle w:val="Compact"/>
            </w:pPr>
            <w:r>
              <w:t xml:space="preserve">Compliance — Vulnerability Management</w:t>
            </w:r>
          </w:p>
        </w:tc>
        <w:tc>
          <w:tcPr/>
          <w:p>
            <w:pPr>
              <w:pStyle w:val="Compact"/>
            </w:pPr>
            <w:r>
              <w:t xml:space="preserve">Defender VM · CISA KEV integration · RA-5 continuous scanning</w:t>
            </w:r>
          </w:p>
        </w:tc>
        <w:tc>
          <w:tcPr/>
          <w:p>
            <w:pPr>
              <w:pStyle w:val="Compact"/>
            </w:pPr>
            <w:r>
              <w:t xml:space="preserve">Defender MDVM + KEV</w:t>
            </w:r>
          </w:p>
        </w:tc>
      </w:tr>
      <w:tr>
        <w:tc>
          <w:tcPr/>
          <w:p>
            <w:pPr>
              <w:pStyle w:val="Compact"/>
            </w:pPr>
            <w:r>
              <w:t xml:space="preserve">Vol III Book 03</w:t>
            </w:r>
          </w:p>
        </w:tc>
        <w:tc>
          <w:tcPr/>
          <w:p>
            <w:pPr>
              <w:pStyle w:val="Compact"/>
            </w:pPr>
            <w:r>
              <w:t xml:space="preserve">Compliance — Patch &amp; Systems Management</w:t>
            </w:r>
          </w:p>
        </w:tc>
        <w:tc>
          <w:tcPr/>
          <w:p>
            <w:pPr>
              <w:pStyle w:val="Compact"/>
            </w:pPr>
            <w:r>
              <w:t xml:space="preserve">Flaw remediation · configuration state · SI-2 / CM closure</w:t>
            </w:r>
          </w:p>
        </w:tc>
        <w:tc>
          <w:tcPr/>
          <w:p>
            <w:pPr>
              <w:pStyle w:val="Compact"/>
            </w:pPr>
            <w:r>
              <w:t xml:space="preserve">Azure Update Manager · multi-CSP patch</w:t>
            </w:r>
          </w:p>
        </w:tc>
      </w:tr>
      <w:tr>
        <w:tc>
          <w:tcPr/>
          <w:p>
            <w:pPr>
              <w:pStyle w:val="Compact"/>
            </w:pPr>
            <w:r>
              <w:t xml:space="preserve">Vol III Book 04</w:t>
            </w:r>
          </w:p>
        </w:tc>
        <w:tc>
          <w:tcPr/>
          <w:p>
            <w:pPr>
              <w:pStyle w:val="Compact"/>
            </w:pPr>
            <w:r>
              <w:t xml:space="preserve">Compliance — Cloud-Native Security Posture &amp; Containers</w:t>
            </w:r>
          </w:p>
        </w:tc>
        <w:tc>
          <w:tcPr/>
          <w:p>
            <w:pPr>
              <w:pStyle w:val="Compact"/>
            </w:pPr>
            <w:r>
              <w:t xml:space="preserve">CSPM · CNAPP · Kubernetes runtime</w:t>
            </w:r>
          </w:p>
        </w:tc>
        <w:tc>
          <w:tcPr/>
          <w:p>
            <w:pPr>
              <w:pStyle w:val="Compact"/>
            </w:pPr>
            <w:r>
              <w:t xml:space="preserve">Defender for Cloud · CSPM / CNAPP</w:t>
            </w:r>
          </w:p>
        </w:tc>
      </w:tr>
      <w:tr>
        <w:tc>
          <w:tcPr/>
          <w:p>
            <w:pPr>
              <w:pStyle w:val="Compact"/>
            </w:pPr>
            <w:r>
              <w:t xml:space="preserve">Vol III Book 05</w:t>
            </w:r>
          </w:p>
        </w:tc>
        <w:tc>
          <w:tcPr/>
          <w:p>
            <w:pPr>
              <w:pStyle w:val="Compact"/>
            </w:pPr>
            <w:r>
              <w:t xml:space="preserve">Compliance — Data Protection and Purview</w:t>
            </w:r>
          </w:p>
        </w:tc>
        <w:tc>
          <w:tcPr/>
          <w:p>
            <w:pPr>
              <w:pStyle w:val="Compact"/>
            </w:pPr>
            <w:r>
              <w:t xml:space="preserve">Purview DLP · sensitivity labels · Key Vault CMK · MP/SC controls</w:t>
            </w:r>
          </w:p>
        </w:tc>
        <w:tc>
          <w:tcPr/>
          <w:p>
            <w:pPr>
              <w:pStyle w:val="Compact"/>
            </w:pPr>
            <w:r>
              <w:t xml:space="preserve">Purview + Key Vault</w:t>
            </w:r>
          </w:p>
        </w:tc>
      </w:tr>
      <w:tr>
        <w:tc>
          <w:tcPr/>
          <w:p>
            <w:pPr>
              <w:pStyle w:val="Compact"/>
            </w:pPr>
            <w:r>
              <w:t xml:space="preserve">Vol III Book 06</w:t>
            </w:r>
          </w:p>
        </w:tc>
        <w:tc>
          <w:tcPr/>
          <w:p>
            <w:pPr>
              <w:pStyle w:val="Compact"/>
            </w:pPr>
            <w:r>
              <w:t xml:space="preserve">Compliance — SIEM / XDR / Detection Engineering</w:t>
            </w:r>
          </w:p>
        </w:tc>
        <w:tc>
          <w:tcPr/>
          <w:p>
            <w:pPr>
              <w:pStyle w:val="Compact"/>
            </w:pPr>
            <w:r>
              <w:t xml:space="preserve">Sentinel connectors · KQL analytics rules · UEBA scoring · Logic App playbooks</w:t>
            </w:r>
          </w:p>
        </w:tc>
        <w:tc>
          <w:tcPr/>
          <w:p>
            <w:pPr>
              <w:pStyle w:val="Compact"/>
            </w:pPr>
            <w:r>
              <w:t xml:space="preserve">Microsoft Sentinel + Defender XDR</w:t>
            </w:r>
          </w:p>
        </w:tc>
      </w:tr>
      <w:tr>
        <w:tc>
          <w:tcPr/>
          <w:p>
            <w:pPr>
              <w:pStyle w:val="Compact"/>
            </w:pPr>
            <w:r>
              <w:t xml:space="preserve">Vol III Book 07</w:t>
            </w:r>
          </w:p>
        </w:tc>
        <w:tc>
          <w:tcPr/>
          <w:p>
            <w:pPr>
              <w:pStyle w:val="Compact"/>
            </w:pPr>
            <w:r>
              <w:t xml:space="preserve">Compliance — Multi-Cloud Evidence Fabric</w:t>
            </w:r>
          </w:p>
        </w:tc>
        <w:tc>
          <w:tcPr/>
          <w:p>
            <w:pPr>
              <w:pStyle w:val="Compact"/>
            </w:pPr>
            <w:r>
              <w:t xml:space="preserve">Unified evidence contract · telemetry → CDM → KSI</w:t>
            </w:r>
          </w:p>
        </w:tc>
        <w:tc>
          <w:tcPr/>
          <w:p>
            <w:pPr>
              <w:pStyle w:val="Compact"/>
            </w:pPr>
            <w:r>
              <w:t xml:space="preserve">Multi-CSP evidence pipeline</w:t>
            </w:r>
          </w:p>
        </w:tc>
      </w:tr>
      <w:tr>
        <w:tc>
          <w:tcPr/>
          <w:p>
            <w:pPr>
              <w:pStyle w:val="Compact"/>
            </w:pPr>
            <w:r>
              <w:t xml:space="preserve">Vol IV Book 01</w:t>
            </w:r>
          </w:p>
        </w:tc>
        <w:tc>
          <w:tcPr/>
          <w:p>
            <w:pPr>
              <w:pStyle w:val="Compact"/>
            </w:pPr>
            <w:r>
              <w:t xml:space="preserve">Compliance — Business Continuity</w:t>
            </w:r>
          </w:p>
        </w:tc>
        <w:tc>
          <w:tcPr/>
          <w:p>
            <w:pPr>
              <w:pStyle w:val="Compact"/>
            </w:pPr>
            <w:r>
              <w:t xml:space="preserve">CP-2 contingency plan · BIA RTO/RPO/MTD · SQL AG and DDI DR integration</w:t>
            </w:r>
          </w:p>
        </w:tc>
        <w:tc>
          <w:tcPr/>
          <w:p>
            <w:pPr>
              <w:pStyle w:val="Compact"/>
            </w:pPr>
            <w:r>
              <w:t xml:space="preserve">Azure Site Recovery + DR runbooks</w:t>
            </w:r>
          </w:p>
        </w:tc>
      </w:tr>
      <w:tr>
        <w:tc>
          <w:tcPr/>
          <w:p>
            <w:pPr>
              <w:pStyle w:val="Compact"/>
            </w:pPr>
            <w:r>
              <w:t xml:space="preserve">Vol IV Book 02</w:t>
            </w:r>
          </w:p>
        </w:tc>
        <w:tc>
          <w:tcPr/>
          <w:p>
            <w:pPr>
              <w:pStyle w:val="Compact"/>
            </w:pPr>
            <w:r>
              <w:t xml:space="preserve">Compliance — Supply Chain Risk Management</w:t>
            </w:r>
          </w:p>
        </w:tc>
        <w:tc>
          <w:tcPr/>
          <w:p>
            <w:pPr>
              <w:pStyle w:val="Compact"/>
            </w:pPr>
            <w:r>
              <w:t xml:space="preserve">Syft CycloneDX SBOM · Grype vulnerability scan · OpenVEX exploitability · GitHub Actions pipeline</w:t>
            </w:r>
          </w:p>
        </w:tc>
        <w:tc>
          <w:tcPr/>
          <w:p>
            <w:pPr>
              <w:pStyle w:val="Compact"/>
            </w:pPr>
            <w:r>
              <w:t xml:space="preserve">EO 14028 §4 / SR-family (remediation SLAs: BOD 26-04)</w:t>
            </w:r>
          </w:p>
        </w:tc>
      </w:tr>
      <w:tr>
        <w:tc>
          <w:tcPr/>
          <w:p>
            <w:pPr>
              <w:pStyle w:val="Compact"/>
            </w:pPr>
            <w:r>
              <w:t xml:space="preserve">Vol IV Book 03</w:t>
            </w:r>
          </w:p>
        </w:tc>
        <w:tc>
          <w:tcPr/>
          <w:p>
            <w:pPr>
              <w:pStyle w:val="Compact"/>
            </w:pPr>
            <w:r>
              <w:t xml:space="preserve">Compliance — Program Management and Governance</w:t>
            </w:r>
          </w:p>
        </w:tc>
        <w:tc>
          <w:tcPr/>
          <w:p>
            <w:pPr>
              <w:pStyle w:val="Compact"/>
            </w:pPr>
            <w:r>
              <w:t xml:space="preserve">ISPP · POA&amp;M · SCRM Charter · Leadership RACI · PM-1/PM-9/PM-30 closure</w:t>
            </w:r>
          </w:p>
        </w:tc>
        <w:tc>
          <w:tcPr/>
          <w:p>
            <w:pPr>
              <w:pStyle w:val="Compact"/>
            </w:pPr>
            <w:r>
              <w:t xml:space="preserve">PM-family governance artifacts</w:t>
            </w:r>
          </w:p>
        </w:tc>
      </w:tr>
      <w:tr>
        <w:tc>
          <w:tcPr/>
          <w:p>
            <w:pPr>
              <w:pStyle w:val="Compact"/>
            </w:pPr>
            <w:r>
              <w:t xml:space="preserve">Vol IV Book 04</w:t>
            </w:r>
          </w:p>
        </w:tc>
        <w:tc>
          <w:tcPr/>
          <w:p>
            <w:pPr>
              <w:pStyle w:val="Compact"/>
            </w:pPr>
            <w:r>
              <w:t xml:space="preserve">Compliance — PII Processing and Transparency</w:t>
            </w:r>
          </w:p>
        </w:tc>
        <w:tc>
          <w:tcPr/>
          <w:p>
            <w:pPr>
              <w:pStyle w:val="Compact"/>
            </w:pPr>
            <w:r>
              <w:t xml:space="preserve">PT family templates · Privacy Program Plan · authority-to-process · Purview Data Map</w:t>
            </w:r>
          </w:p>
        </w:tc>
        <w:tc>
          <w:tcPr/>
          <w:p>
            <w:pPr>
              <w:pStyle w:val="Compact"/>
            </w:pPr>
            <w:r>
              <w:t xml:space="preserve">PT-1–PT-7 GCC Moderate</w:t>
            </w:r>
          </w:p>
        </w:tc>
      </w:tr>
      <w:tr>
        <w:tc>
          <w:tcPr/>
          <w:p>
            <w:pPr>
              <w:pStyle w:val="Compact"/>
            </w:pPr>
            <w:r>
              <w:t xml:space="preserve">Vol IV Book 05</w:t>
            </w:r>
          </w:p>
        </w:tc>
        <w:tc>
          <w:tcPr/>
          <w:p>
            <w:pPr>
              <w:pStyle w:val="Compact"/>
            </w:pPr>
            <w:r>
              <w:t xml:space="preserve">Compliance — Cybersecurity Awareness and Training</w:t>
            </w:r>
          </w:p>
        </w:tc>
        <w:tc>
          <w:tcPr/>
          <w:p>
            <w:pPr>
              <w:pStyle w:val="Compact"/>
            </w:pPr>
            <w:r>
              <w:t xml:space="preserve">AT-2/AT-3 general and role-based training · LMS evidence schema · CP-3 tabletop calendar · IR-2 drill documentation</w:t>
            </w:r>
          </w:p>
        </w:tc>
        <w:tc>
          <w:tcPr/>
          <w:p>
            <w:pPr>
              <w:pStyle w:val="Compact"/>
            </w:pPr>
            <w:r>
              <w:t xml:space="preserve">AT/CP/IR families · KSI-CED-RAT</w:t>
            </w:r>
          </w:p>
        </w:tc>
      </w:tr>
      <w:tr>
        <w:tc>
          <w:tcPr/>
          <w:p>
            <w:pPr>
              <w:pStyle w:val="Compact"/>
            </w:pPr>
            <w:r>
              <w:t xml:space="preserve">Vol IV Book 06</w:t>
            </w:r>
          </w:p>
        </w:tc>
        <w:tc>
          <w:tcPr/>
          <w:p>
            <w:pPr>
              <w:pStyle w:val="Compact"/>
            </w:pPr>
            <w:r>
              <w:t xml:space="preserve">Compliance — Authorization Package and ConMon</w:t>
            </w:r>
          </w:p>
        </w:tc>
        <w:tc>
          <w:tcPr/>
          <w:p>
            <w:pPr>
              <w:pStyle w:val="Compact"/>
            </w:pPr>
            <w:r>
              <w:t xml:space="preserve">Agency RMF authorization package (ConMon evidence modeled on the FedRAMP 20x KSI schema) · OSCAL AP+AR+POA&amp;M bundle · FedRAMP VDR/VER submission (NTC-0014) · CA-7 ConMon program</w:t>
            </w:r>
          </w:p>
        </w:tc>
        <w:tc>
          <w:tcPr/>
          <w:p>
            <w:pPr>
              <w:pStyle w:val="Compact"/>
            </w:pPr>
            <w:r>
              <w:t xml:space="preserve">CA-2/5/6/7 · RA-3 · SA-15</w:t>
            </w:r>
          </w:p>
        </w:tc>
      </w:tr>
      <w:tr>
        <w:tc>
          <w:tcPr/>
          <w:p>
            <w:pPr>
              <w:pStyle w:val="Compact"/>
            </w:pPr>
            <w:r>
              <w:t xml:space="preserve">Vol V Book 00–04</w:t>
            </w:r>
          </w:p>
        </w:tc>
        <w:tc>
          <w:tcPr/>
          <w:p>
            <w:pPr>
              <w:pStyle w:val="Compact"/>
            </w:pPr>
            <w:r>
              <w:t xml:space="preserve">Compliance — Training &amp; Certification</w:t>
            </w:r>
          </w:p>
        </w:tc>
        <w:tc>
          <w:tcPr/>
          <w:p>
            <w:pPr>
              <w:pStyle w:val="Compact"/>
            </w:pPr>
            <w:r>
              <w:t xml:space="preserve">Enablement · two-track model · eight evidence slots as curriculum · rubric ladder · vendor labs</w:t>
            </w:r>
          </w:p>
        </w:tc>
        <w:tc>
          <w:tcPr/>
          <w:p>
            <w:pPr>
              <w:pStyle w:val="Compact"/>
            </w:pPr>
            <w:r>
              <w:t xml:space="preserve">Compliance Practitioner/Assessor credentials · KSI-CED</w:t>
            </w:r>
          </w:p>
        </w:tc>
      </w:tr>
      <w:tr>
        <w:tc>
          <w:tcPr/>
          <w:p>
            <w:pPr>
              <w:pStyle w:val="Compact"/>
            </w:pPr>
            <w:r>
              <w:t xml:space="preserve">Vol VI Book 00</w:t>
            </w:r>
          </w:p>
        </w:tc>
        <w:tc>
          <w:tcPr/>
          <w:p>
            <w:pPr>
              <w:pStyle w:val="Compact"/>
            </w:pPr>
            <w:r>
              <w:t xml:space="preserve">Compliance — Implementation (Overview)</w:t>
            </w:r>
          </w:p>
        </w:tc>
        <w:tc>
          <w:tcPr/>
          <w:p>
            <w:pPr>
              <w:pStyle w:val="Compact"/>
            </w:pPr>
            <w:r>
              <w:t xml:space="preserve">The deployable layer — architecture operationalized as code</w:t>
            </w:r>
          </w:p>
        </w:tc>
        <w:tc>
          <w:tcPr/>
          <w:p>
            <w:pPr>
              <w:pStyle w:val="Compact"/>
            </w:pPr>
            <w:r>
              <w:t xml:space="preserve">IaC · CI/CD · CM-2/CM-3</w:t>
            </w:r>
          </w:p>
        </w:tc>
      </w:tr>
      <w:tr>
        <w:tc>
          <w:tcPr/>
          <w:p>
            <w:pPr>
              <w:pStyle w:val="Compact"/>
            </w:pPr>
            <w:r>
              <w:t xml:space="preserve">Vol VI Book 01</w:t>
            </w:r>
          </w:p>
        </w:tc>
        <w:tc>
          <w:tcPr/>
          <w:p>
            <w:pPr>
              <w:pStyle w:val="Compact"/>
            </w:pPr>
            <w:r>
              <w:t xml:space="preserve">Compliance — Landing Zone &amp; Network as Code</w:t>
            </w:r>
          </w:p>
        </w:tc>
        <w:tc>
          <w:tcPr/>
          <w:p>
            <w:pPr>
              <w:pStyle w:val="Compact"/>
            </w:pPr>
            <w:r>
              <w:t xml:space="preserve">SC-7/SC-20/21/22, CM-8 realized as reviewable infrastructure code</w:t>
            </w:r>
          </w:p>
        </w:tc>
        <w:tc>
          <w:tcPr/>
          <w:p>
            <w:pPr>
              <w:pStyle w:val="Compact"/>
            </w:pPr>
            <w:r>
              <w:t xml:space="preserve">Terraform / Bicep</w:t>
            </w:r>
          </w:p>
        </w:tc>
      </w:tr>
      <w:tr>
        <w:tc>
          <w:tcPr/>
          <w:p>
            <w:pPr>
              <w:pStyle w:val="Compact"/>
            </w:pPr>
            <w:r>
              <w:t xml:space="preserve">Vol VI Book 02</w:t>
            </w:r>
          </w:p>
        </w:tc>
        <w:tc>
          <w:tcPr/>
          <w:p>
            <w:pPr>
              <w:pStyle w:val="Compact"/>
            </w:pPr>
            <w:r>
              <w:t xml:space="preserve">Compliance — Identity &amp; Access as Code</w:t>
            </w:r>
          </w:p>
        </w:tc>
        <w:tc>
          <w:tcPr/>
          <w:p>
            <w:pPr>
              <w:pStyle w:val="Compact"/>
            </w:pPr>
            <w:r>
              <w:t xml:space="preserve">AC-2/5/6, IA-2/3/5, SC-17 as policy-as-code</w:t>
            </w:r>
          </w:p>
        </w:tc>
        <w:tc>
          <w:tcPr/>
          <w:p>
            <w:pPr>
              <w:pStyle w:val="Compact"/>
            </w:pPr>
            <w:r>
              <w:t xml:space="preserve">Entra · SCIM · policy-as-code</w:t>
            </w:r>
          </w:p>
        </w:tc>
      </w:tr>
      <w:tr>
        <w:tc>
          <w:tcPr/>
          <w:p>
            <w:pPr>
              <w:pStyle w:val="Compact"/>
            </w:pPr>
            <w:r>
              <w:t xml:space="preserve">Vol VI Book 03</w:t>
            </w:r>
          </w:p>
        </w:tc>
        <w:tc>
          <w:tcPr/>
          <w:p>
            <w:pPr>
              <w:pStyle w:val="Compact"/>
            </w:pPr>
            <w:r>
              <w:t xml:space="preserve">Compliance — Detection Engineering</w:t>
            </w:r>
          </w:p>
        </w:tc>
        <w:tc>
          <w:tcPr/>
          <w:p>
            <w:pPr>
              <w:pStyle w:val="Compact"/>
            </w:pPr>
            <w:r>
              <w:t xml:space="preserve">AU-6, SI-4 analytics rule library</w:t>
            </w:r>
          </w:p>
        </w:tc>
        <w:tc>
          <w:tcPr/>
          <w:p>
            <w:pPr>
              <w:pStyle w:val="Compact"/>
            </w:pPr>
            <w:r>
              <w:t xml:space="preserve">Sentinel KQL rules</w:t>
            </w:r>
          </w:p>
        </w:tc>
      </w:tr>
      <w:tr>
        <w:tc>
          <w:tcPr/>
          <w:p>
            <w:pPr>
              <w:pStyle w:val="Compact"/>
            </w:pPr>
            <w:r>
              <w:t xml:space="preserve">Vol VI Book 04</w:t>
            </w:r>
          </w:p>
        </w:tc>
        <w:tc>
          <w:tcPr/>
          <w:p>
            <w:pPr>
              <w:pStyle w:val="Compact"/>
            </w:pPr>
            <w:r>
              <w:t xml:space="preserve">Compliance — Response Automation (SOAR)</w:t>
            </w:r>
          </w:p>
        </w:tc>
        <w:tc>
          <w:tcPr/>
          <w:p>
            <w:pPr>
              <w:pStyle w:val="Compact"/>
            </w:pPr>
            <w:r>
              <w:t xml:space="preserve">IR-4/6, AC-12 playbook library</w:t>
            </w:r>
          </w:p>
        </w:tc>
        <w:tc>
          <w:tcPr/>
          <w:p>
            <w:pPr>
              <w:pStyle w:val="Compact"/>
            </w:pPr>
            <w:r>
              <w:t xml:space="preserve">Logic Apps / SOAR</w:t>
            </w:r>
          </w:p>
        </w:tc>
      </w:tr>
      <w:tr>
        <w:tc>
          <w:tcPr/>
          <w:p>
            <w:pPr>
              <w:pStyle w:val="Compact"/>
            </w:pPr>
            <w:r>
              <w:t xml:space="preserve">Vol VI Book 05</w:t>
            </w:r>
          </w:p>
        </w:tc>
        <w:tc>
          <w:tcPr/>
          <w:p>
            <w:pPr>
              <w:pStyle w:val="Compact"/>
            </w:pPr>
            <w:r>
              <w:t xml:space="preserve">Compliance — Data Protection Deployment</w:t>
            </w:r>
          </w:p>
        </w:tc>
        <w:tc>
          <w:tcPr/>
          <w:p>
            <w:pPr>
              <w:pStyle w:val="Compact"/>
            </w:pPr>
            <w:r>
              <w:t xml:space="preserve">MP-2–5, SC-12/28, AU-10 deployment</w:t>
            </w:r>
          </w:p>
        </w:tc>
        <w:tc>
          <w:tcPr/>
          <w:p>
            <w:pPr>
              <w:pStyle w:val="Compact"/>
            </w:pPr>
            <w:r>
              <w:t xml:space="preserve">Purview · Key Vault</w:t>
            </w:r>
          </w:p>
        </w:tc>
      </w:tr>
      <w:tr>
        <w:tc>
          <w:tcPr/>
          <w:p>
            <w:pPr>
              <w:pStyle w:val="Compact"/>
            </w:pPr>
            <w:r>
              <w:t xml:space="preserve">Vol VI Book 06</w:t>
            </w:r>
          </w:p>
        </w:tc>
        <w:tc>
          <w:tcPr/>
          <w:p>
            <w:pPr>
              <w:pStyle w:val="Compact"/>
            </w:pPr>
            <w:r>
              <w:t xml:space="preserve">Compliance — Configuration Baselines &amp; Hardening</w:t>
            </w:r>
          </w:p>
        </w:tc>
        <w:tc>
          <w:tcPr/>
          <w:p>
            <w:pPr>
              <w:pStyle w:val="Compact"/>
            </w:pPr>
            <w:r>
              <w:t xml:space="preserve">CM-2/3/6/7, SI-2 baselines</w:t>
            </w:r>
          </w:p>
        </w:tc>
        <w:tc>
          <w:tcPr/>
          <w:p>
            <w:pPr>
              <w:pStyle w:val="Compact"/>
            </w:pPr>
            <w:r>
              <w:t xml:space="preserve">Machine Config · hardening</w:t>
            </w:r>
          </w:p>
        </w:tc>
      </w:tr>
      <w:tr>
        <w:tc>
          <w:tcPr/>
          <w:p>
            <w:pPr>
              <w:pStyle w:val="Compact"/>
            </w:pPr>
            <w:r>
              <w:t xml:space="preserve">Vol VI Book 07</w:t>
            </w:r>
          </w:p>
        </w:tc>
        <w:tc>
          <w:tcPr/>
          <w:p>
            <w:pPr>
              <w:pStyle w:val="Compact"/>
            </w:pPr>
            <w:r>
              <w:t xml:space="preserve">Compliance — Evidence &amp; ConMon Pipeline</w:t>
            </w:r>
          </w:p>
        </w:tc>
        <w:tc>
          <w:tcPr/>
          <w:p>
            <w:pPr>
              <w:pStyle w:val="Compact"/>
            </w:pPr>
            <w:r>
              <w:t xml:space="preserve">AU-6/12, CA-5/7 evidence wiring</w:t>
            </w:r>
          </w:p>
        </w:tc>
        <w:tc>
          <w:tcPr/>
          <w:p>
            <w:pPr>
              <w:pStyle w:val="Compact"/>
            </w:pPr>
            <w:r>
              <w:t xml:space="preserve">OSCAL emitter pipeline</w:t>
            </w:r>
          </w:p>
        </w:tc>
      </w:tr>
      <w:tr>
        <w:tc>
          <w:tcPr/>
          <w:p>
            <w:pPr>
              <w:pStyle w:val="Compact"/>
            </w:pPr>
            <w:r>
              <w:t xml:space="preserve">Vol VI Book 08</w:t>
            </w:r>
          </w:p>
        </w:tc>
        <w:tc>
          <w:tcPr/>
          <w:p>
            <w:pPr>
              <w:pStyle w:val="Compact"/>
            </w:pPr>
            <w:r>
              <w:t xml:space="preserve">Compliance — Validation &amp; Test Harnesses</w:t>
            </w:r>
          </w:p>
        </w:tc>
        <w:tc>
          <w:tcPr/>
          <w:p>
            <w:pPr>
              <w:pStyle w:val="Compact"/>
            </w:pPr>
            <w:r>
              <w:t xml:space="preserve">CA-2/7, SI-4 validation</w:t>
            </w:r>
          </w:p>
        </w:tc>
        <w:tc>
          <w:tcPr/>
          <w:p>
            <w:pPr>
              <w:pStyle w:val="Compact"/>
            </w:pPr>
            <w:r>
              <w:t xml:space="preserve">Conformance test harnesses</w:t>
            </w:r>
          </w:p>
        </w:tc>
      </w:tr>
      <w:tr>
        <w:tc>
          <w:tcPr/>
          <w:p>
            <w:pPr>
              <w:pStyle w:val="Compact"/>
            </w:pPr>
            <w:r>
              <w:t xml:space="preserve">Vol VII Book 00</w:t>
            </w:r>
          </w:p>
        </w:tc>
        <w:tc>
          <w:tcPr/>
          <w:p>
            <w:pPr>
              <w:pStyle w:val="Compact"/>
            </w:pPr>
            <w:r>
              <w:t xml:space="preserve">Compliance — ServiceNow Automation (Overview)</w:t>
            </w:r>
          </w:p>
        </w:tc>
        <w:tc>
          <w:tcPr/>
          <w:p>
            <w:pPr>
              <w:pStyle w:val="Compact"/>
            </w:pPr>
            <w:r>
              <w:t xml:space="preserve">The coordination layer for M365/Azure/AWS/VMware control compliance</w:t>
            </w:r>
          </w:p>
        </w:tc>
        <w:tc>
          <w:tcPr/>
          <w:p>
            <w:pPr>
              <w:pStyle w:val="Compact"/>
            </w:pPr>
            <w:r>
              <w:t xml:space="preserve">ServiceNow (Gov) + in-boundary MID Server</w:t>
            </w:r>
          </w:p>
        </w:tc>
      </w:tr>
      <w:tr>
        <w:tc>
          <w:tcPr/>
          <w:p>
            <w:pPr>
              <w:pStyle w:val="Compact"/>
            </w:pPr>
            <w:r>
              <w:t xml:space="preserve">Vol VII Book 01</w:t>
            </w:r>
          </w:p>
        </w:tc>
        <w:tc>
          <w:tcPr/>
          <w:p>
            <w:pPr>
              <w:pStyle w:val="Compact"/>
            </w:pPr>
            <w:r>
              <w:t xml:space="preserve">Compliance — CMDB Reconciliation &amp; Asset Identity</w:t>
            </w:r>
          </w:p>
        </w:tc>
        <w:tc>
          <w:tcPr/>
          <w:p>
            <w:pPr>
              <w:pStyle w:val="Compact"/>
            </w:pPr>
            <w:r>
              <w:t xml:space="preserve">CM-8 (reconciled to IPAM/DDI), CM-3</w:t>
            </w:r>
          </w:p>
        </w:tc>
        <w:tc>
          <w:tcPr/>
          <w:p>
            <w:pPr>
              <w:pStyle w:val="Compact"/>
            </w:pPr>
            <w:r>
              <w:t xml:space="preserve">ServiceNow Discovery / Service Graph</w:t>
            </w:r>
          </w:p>
        </w:tc>
      </w:tr>
      <w:tr>
        <w:tc>
          <w:tcPr/>
          <w:p>
            <w:pPr>
              <w:pStyle w:val="Compact"/>
            </w:pPr>
            <w:r>
              <w:t xml:space="preserve">Vol VII Book 02</w:t>
            </w:r>
          </w:p>
        </w:tc>
        <w:tc>
          <w:tcPr/>
          <w:p>
            <w:pPr>
              <w:pStyle w:val="Compact"/>
            </w:pPr>
            <w:r>
              <w:t xml:space="preserve">Compliance — M365 Control-Compliance Automation</w:t>
            </w:r>
          </w:p>
        </w:tc>
        <w:tc>
          <w:tcPr/>
          <w:p>
            <w:pPr>
              <w:pStyle w:val="Compact"/>
            </w:pPr>
            <w:r>
              <w:t xml:space="preserve">CM-6, AC-2, CA-7 drift → tracked task</w:t>
            </w:r>
          </w:p>
        </w:tc>
        <w:tc>
          <w:tcPr/>
          <w:p>
            <w:pPr>
              <w:pStyle w:val="Compact"/>
            </w:pPr>
            <w:r>
              <w:t xml:space="preserve">Graph · SCuBA · ServiceNow</w:t>
            </w:r>
          </w:p>
        </w:tc>
      </w:tr>
      <w:tr>
        <w:tc>
          <w:tcPr/>
          <w:p>
            <w:pPr>
              <w:pStyle w:val="Compact"/>
            </w:pPr>
            <w:r>
              <w:t xml:space="preserve">Vol VII Book 03</w:t>
            </w:r>
          </w:p>
        </w:tc>
        <w:tc>
          <w:tcPr/>
          <w:p>
            <w:pPr>
              <w:pStyle w:val="Compact"/>
            </w:pPr>
            <w:r>
              <w:t xml:space="preserve">Compliance — Azure Control-Compliance Automation</w:t>
            </w:r>
          </w:p>
        </w:tc>
        <w:tc>
          <w:tcPr/>
          <w:p>
            <w:pPr>
              <w:pStyle w:val="Compact"/>
            </w:pPr>
            <w:r>
              <w:t xml:space="preserve">CM-6, SI-2, RA-5 → remediation task</w:t>
            </w:r>
          </w:p>
        </w:tc>
        <w:tc>
          <w:tcPr/>
          <w:p>
            <w:pPr>
              <w:pStyle w:val="Compact"/>
            </w:pPr>
            <w:r>
              <w:t xml:space="preserve">Azure Policy · Defender · ServiceNow</w:t>
            </w:r>
          </w:p>
        </w:tc>
      </w:tr>
      <w:tr>
        <w:tc>
          <w:tcPr/>
          <w:p>
            <w:pPr>
              <w:pStyle w:val="Compact"/>
            </w:pPr>
            <w:r>
              <w:t xml:space="preserve">Vol VII Book 04</w:t>
            </w:r>
          </w:p>
        </w:tc>
        <w:tc>
          <w:tcPr/>
          <w:p>
            <w:pPr>
              <w:pStyle w:val="Compact"/>
            </w:pPr>
            <w:r>
              <w:t xml:space="preserve">Compliance — Control Attestation, Evidence &amp; KSI</w:t>
            </w:r>
          </w:p>
        </w:tc>
        <w:tc>
          <w:tcPr/>
          <w:p>
            <w:pPr>
              <w:pStyle w:val="Compact"/>
            </w:pPr>
            <w:r>
              <w:t xml:space="preserve">CA-2, CA-5, CA-7 → OSCAL/KSI evidence</w:t>
            </w:r>
          </w:p>
        </w:tc>
        <w:tc>
          <w:tcPr/>
          <w:p>
            <w:pPr>
              <w:pStyle w:val="Compact"/>
            </w:pPr>
            <w:r>
              <w:t xml:space="preserve">ServiceNow IRM/GRC · OSCAL</w:t>
            </w:r>
          </w:p>
        </w:tc>
      </w:tr>
      <w:tr>
        <w:tc>
          <w:tcPr/>
          <w:p>
            <w:pPr>
              <w:pStyle w:val="Compact"/>
            </w:pPr>
            <w:r>
              <w:t xml:space="preserve">Vol VII Book 05</w:t>
            </w:r>
          </w:p>
        </w:tc>
        <w:tc>
          <w:tcPr/>
          <w:p>
            <w:pPr>
              <w:pStyle w:val="Compact"/>
            </w:pPr>
            <w:r>
              <w:t xml:space="preserve">Compliance — The ServiceNow Compliance App</w:t>
            </w:r>
          </w:p>
        </w:tc>
        <w:tc>
          <w:tcPr/>
          <w:p>
            <w:pPr>
              <w:pStyle w:val="Compact"/>
            </w:pPr>
            <w:r>
              <w:t xml:space="preserve">Scoped app · Flows · ATF · Update Set</w:t>
            </w:r>
          </w:p>
        </w:tc>
        <w:tc>
          <w:tcPr/>
          <w:p>
            <w:pPr>
              <w:pStyle w:val="Compact"/>
            </w:pPr>
            <w:r>
              <w:t xml:space="preserve">ServiceNow scoped app</w:t>
            </w:r>
          </w:p>
        </w:tc>
      </w:tr>
      <w:tr>
        <w:tc>
          <w:tcPr/>
          <w:p>
            <w:pPr>
              <w:pStyle w:val="Compact"/>
            </w:pPr>
            <w:r>
              <w:t xml:space="preserve">Vol VII Book 06</w:t>
            </w:r>
          </w:p>
        </w:tc>
        <w:tc>
          <w:tcPr/>
          <w:p>
            <w:pPr>
              <w:pStyle w:val="Compact"/>
            </w:pPr>
            <w:r>
              <w:t xml:space="preserve">Compliance — AWS Control-Compliance Automation</w:t>
            </w:r>
          </w:p>
        </w:tc>
        <w:tc>
          <w:tcPr/>
          <w:p>
            <w:pPr>
              <w:pStyle w:val="Compact"/>
            </w:pPr>
            <w:r>
              <w:t xml:space="preserve">CM-6, SI-2, RA-5 → remediation task</w:t>
            </w:r>
          </w:p>
        </w:tc>
        <w:tc>
          <w:tcPr/>
          <w:p>
            <w:pPr>
              <w:pStyle w:val="Compact"/>
            </w:pPr>
            <w:r>
              <w:t xml:space="preserve">AWS Config · Security Hub · ServiceNow</w:t>
            </w:r>
          </w:p>
        </w:tc>
      </w:tr>
      <w:tr>
        <w:tc>
          <w:tcPr/>
          <w:p>
            <w:pPr>
              <w:pStyle w:val="Compact"/>
            </w:pPr>
            <w:r>
              <w:t xml:space="preserve">Vol VII Book 07</w:t>
            </w:r>
          </w:p>
        </w:tc>
        <w:tc>
          <w:tcPr/>
          <w:p>
            <w:pPr>
              <w:pStyle w:val="Compact"/>
            </w:pPr>
            <w:r>
              <w:t xml:space="preserve">Compliance — VMware Control-Compliance Automation</w:t>
            </w:r>
          </w:p>
        </w:tc>
        <w:tc>
          <w:tcPr/>
          <w:p>
            <w:pPr>
              <w:pStyle w:val="Compact"/>
            </w:pPr>
            <w:r>
              <w:t xml:space="preserve">CM-6, SI-2, RA-5 → remediation task</w:t>
            </w:r>
          </w:p>
        </w:tc>
        <w:tc>
          <w:tcPr/>
          <w:p>
            <w:pPr>
              <w:pStyle w:val="Compact"/>
            </w:pPr>
            <w:r>
              <w:t xml:space="preserve">vSphere Config Profiles · VCF Operations · ServiceNow</w:t>
            </w:r>
          </w:p>
        </w:tc>
      </w:tr>
      <w:tr>
        <w:tc>
          <w:tcPr/>
          <w:p>
            <w:pPr>
              <w:pStyle w:val="Compact"/>
            </w:pPr>
            <w:r>
              <w:t xml:space="preserve">Vol VII Book 08</w:t>
            </w:r>
          </w:p>
        </w:tc>
        <w:tc>
          <w:tcPr/>
          <w:p>
            <w:pPr>
              <w:pStyle w:val="Compact"/>
            </w:pPr>
            <w:r>
              <w:t xml:space="preserve">Compliance — Native Cloud IAM/RBAC Access-Governance Automation</w:t>
            </w:r>
          </w:p>
        </w:tc>
        <w:tc>
          <w:tcPr/>
          <w:p>
            <w:pPr>
              <w:pStyle w:val="Compact"/>
            </w:pPr>
            <w:r>
              <w:t xml:space="preserve">AC-2, AC-3, AC-6 → remediation task</w:t>
            </w:r>
          </w:p>
        </w:tc>
        <w:tc>
          <w:tcPr/>
          <w:p>
            <w:pPr>
              <w:pStyle w:val="Compact"/>
            </w:pPr>
            <w:r>
              <w:t xml:space="preserve">SailPoint ISC Governance (CIEM) · ServiceNow</w:t>
            </w:r>
          </w:p>
        </w:tc>
      </w:tr>
      <w:tr>
        <w:tc>
          <w:tcPr/>
          <w:p>
            <w:pPr>
              <w:pStyle w:val="Compact"/>
            </w:pPr>
            <w:r>
              <w:t xml:space="preserve">Vol VIII Book 00–A</w:t>
            </w:r>
          </w:p>
        </w:tc>
        <w:tc>
          <w:tcPr/>
          <w:p>
            <w:pPr>
              <w:pStyle w:val="Compact"/>
            </w:pPr>
            <w:r>
              <w:t xml:space="preserve">Compliance — Multi-Cloud DDI Landing-Zone Automation</w:t>
            </w:r>
          </w:p>
        </w:tc>
        <w:tc>
          <w:tcPr/>
          <w:p>
            <w:pPr>
              <w:pStyle w:val="Compact"/>
            </w:pPr>
            <w:r>
              <w:t xml:space="preserve">SC-20/22, CM-8, CM-3/CM-5, AU-2 across Azure/AWS/GCP/OCI/VMware (multi-CSP exception)</w:t>
            </w:r>
          </w:p>
        </w:tc>
        <w:tc>
          <w:tcPr/>
          <w:p>
            <w:pPr>
              <w:pStyle w:val="Compact"/>
            </w:pPr>
            <w:r>
              <w:t xml:space="preserve">InfoBlox DDI + ServiceNow front door</w:t>
            </w:r>
          </w:p>
        </w:tc>
      </w:tr>
      <w:tr>
        <w:tc>
          <w:tcPr/>
          <w:p>
            <w:pPr>
              <w:pStyle w:val="Compact"/>
            </w:pPr>
            <w:r>
              <w:t xml:space="preserve">Vol IX Book 00</w:t>
            </w:r>
          </w:p>
        </w:tc>
        <w:tc>
          <w:tcPr/>
          <w:p>
            <w:pPr>
              <w:pStyle w:val="Compact"/>
            </w:pPr>
            <w:r>
              <w:t xml:space="preserve">Compliance — Day-2 Operations (Overview)</w:t>
            </w:r>
          </w:p>
        </w:tc>
        <w:tc>
          <w:tcPr/>
          <w:p>
            <w:pPr>
              <w:pStyle w:val="Compact"/>
            </w:pPr>
            <w:r>
              <w:t xml:space="preserve">The governed catalog for routine Entra/M365/Azure day-2 work</w:t>
            </w:r>
          </w:p>
        </w:tc>
        <w:tc>
          <w:tcPr/>
          <w:p>
            <w:pPr>
              <w:pStyle w:val="Compact"/>
            </w:pPr>
            <w:r>
              <w:t xml:space="preserve">ServiceNow · Graph via in-boundary MID</w:t>
            </w:r>
          </w:p>
        </w:tc>
      </w:tr>
      <w:tr>
        <w:tc>
          <w:tcPr/>
          <w:p>
            <w:pPr>
              <w:pStyle w:val="Compact"/>
            </w:pPr>
            <w:r>
              <w:t xml:space="preserve">Vol IX Book 01</w:t>
            </w:r>
          </w:p>
        </w:tc>
        <w:tc>
          <w:tcPr/>
          <w:p>
            <w:pPr>
              <w:pStyle w:val="Compact"/>
            </w:pPr>
            <w:r>
              <w:t xml:space="preserve">Compliance — Helpdesk &amp; ITSM Catalog</w:t>
            </w:r>
          </w:p>
        </w:tc>
        <w:tc>
          <w:tcPr/>
          <w:p>
            <w:pPr>
              <w:pStyle w:val="Compact"/>
            </w:pPr>
            <w:r>
              <w:t xml:space="preserve">AC-2, IA-5, AC-6 as governed catalog items</w:t>
            </w:r>
          </w:p>
        </w:tc>
        <w:tc>
          <w:tcPr/>
          <w:p>
            <w:pPr>
              <w:pStyle w:val="Compact"/>
            </w:pPr>
            <w:r>
              <w:t xml:space="preserve">ServiceNow catalog over Entra</w:t>
            </w:r>
          </w:p>
        </w:tc>
      </w:tr>
      <w:tr>
        <w:tc>
          <w:tcPr/>
          <w:p>
            <w:pPr>
              <w:pStyle w:val="Compact"/>
            </w:pPr>
            <w:r>
              <w:t xml:space="preserve">Vol IX Book 02</w:t>
            </w:r>
          </w:p>
        </w:tc>
        <w:tc>
          <w:tcPr/>
          <w:p>
            <w:pPr>
              <w:pStyle w:val="Compact"/>
            </w:pPr>
            <w:r>
              <w:t xml:space="preserve">Compliance — Landing Zone Front Door</w:t>
            </w:r>
          </w:p>
        </w:tc>
        <w:tc>
          <w:tcPr/>
          <w:p>
            <w:pPr>
              <w:pStyle w:val="Compact"/>
            </w:pPr>
            <w:r>
              <w:t xml:space="preserve">CM-2, CM-8, CM-3 (catalog → IaC → CMDB)</w:t>
            </w:r>
          </w:p>
        </w:tc>
        <w:tc>
          <w:tcPr/>
          <w:p>
            <w:pPr>
              <w:pStyle w:val="Compact"/>
            </w:pPr>
            <w:r>
              <w:t xml:space="preserve">Terraform / Bicep · CMDB</w:t>
            </w:r>
          </w:p>
        </w:tc>
      </w:tr>
      <w:tr>
        <w:tc>
          <w:tcPr/>
          <w:p>
            <w:pPr>
              <w:pStyle w:val="Compact"/>
            </w:pPr>
            <w:r>
              <w:t xml:space="preserve">Vol IX Book 03</w:t>
            </w:r>
          </w:p>
        </w:tc>
        <w:tc>
          <w:tcPr/>
          <w:p>
            <w:pPr>
              <w:pStyle w:val="Compact"/>
            </w:pPr>
            <w:r>
              <w:t xml:space="preserve">Compliance — App Registration Governance</w:t>
            </w:r>
          </w:p>
        </w:tc>
        <w:tc>
          <w:tcPr/>
          <w:p>
            <w:pPr>
              <w:pStyle w:val="Compact"/>
            </w:pPr>
            <w:r>
              <w:t xml:space="preserve">IA-5(2), SC-17, AC-6 · consent + secret/cert lifecycle</w:t>
            </w:r>
          </w:p>
        </w:tc>
        <w:tc>
          <w:tcPr/>
          <w:p>
            <w:pPr>
              <w:pStyle w:val="Compact"/>
            </w:pPr>
            <w:r>
              <w:t xml:space="preserve">ACME short-lived certs</w:t>
            </w:r>
          </w:p>
        </w:tc>
      </w:tr>
      <w:tr>
        <w:tc>
          <w:tcPr/>
          <w:p>
            <w:pPr>
              <w:pStyle w:val="Compact"/>
            </w:pPr>
            <w:r>
              <w:t xml:space="preserve">Vol IX Book 04</w:t>
            </w:r>
          </w:p>
        </w:tc>
        <w:tc>
          <w:tcPr/>
          <w:p>
            <w:pPr>
              <w:pStyle w:val="Compact"/>
            </w:pPr>
            <w:r>
              <w:t xml:space="preserve">Compliance — Teams Telephony Catalog &amp; SCuBA Drift</w:t>
            </w:r>
          </w:p>
        </w:tc>
        <w:tc>
          <w:tcPr/>
          <w:p>
            <w:pPr>
              <w:pStyle w:val="Compact"/>
            </w:pPr>
            <w:r>
              <w:t xml:space="preserve">CM-3, CM-6, AU-2 · E911 validation</w:t>
            </w:r>
          </w:p>
        </w:tc>
        <w:tc>
          <w:tcPr/>
          <w:p>
            <w:pPr>
              <w:pStyle w:val="Compact"/>
            </w:pPr>
            <w:r>
              <w:t xml:space="preserve">Teams Phone · SCuBA loop</w:t>
            </w:r>
          </w:p>
        </w:tc>
      </w:tr>
      <w:tr>
        <w:tc>
          <w:tcPr/>
          <w:p>
            <w:pPr>
              <w:pStyle w:val="Compact"/>
            </w:pPr>
            <w:r>
              <w:t xml:space="preserve">Vol IX Book 05</w:t>
            </w:r>
          </w:p>
        </w:tc>
        <w:tc>
          <w:tcPr/>
          <w:p>
            <w:pPr>
              <w:pStyle w:val="Compact"/>
            </w:pPr>
            <w:r>
              <w:t xml:space="preserve">Compliance — SaaS Integration Governance</w:t>
            </w:r>
          </w:p>
        </w:tc>
        <w:tc>
          <w:tcPr/>
          <w:p>
            <w:pPr>
              <w:pStyle w:val="Compact"/>
            </w:pPr>
            <w:r>
              <w:t xml:space="preserve">SA-9 †, CA-3, AC-20 · verify authorization, then configure</w:t>
            </w:r>
          </w:p>
        </w:tc>
        <w:tc>
          <w:tcPr/>
          <w:p>
            <w:pPr>
              <w:pStyle w:val="Compact"/>
            </w:pPr>
            <w:r>
              <w:t xml:space="preserve">Entra gallery · FedRAMP Marketplace · ServiceNow</w:t>
            </w:r>
          </w:p>
        </w:tc>
      </w:tr>
      <w:tr>
        <w:tc>
          <w:tcPr/>
          <w:p>
            <w:pPr>
              <w:pStyle w:val="Compact"/>
            </w:pPr>
            <w:r>
              <w:t xml:space="preserve">Vol IX Book 06</w:t>
            </w:r>
          </w:p>
        </w:tc>
        <w:tc>
          <w:tcPr/>
          <w:p>
            <w:pPr>
              <w:pStyle w:val="Compact"/>
            </w:pPr>
            <w:r>
              <w:t xml:space="preserve">Compliance — Identity &amp; Access Governance</w:t>
            </w:r>
          </w:p>
        </w:tc>
        <w:tc>
          <w:tcPr/>
          <w:p>
            <w:pPr>
              <w:pStyle w:val="Compact"/>
            </w:pPr>
            <w:r>
              <w:t xml:space="preserve">AC-2, AC-5, AC-6, IA-4, IA-5, AU-2 · event-driven JML · certification campaigns</w:t>
            </w:r>
          </w:p>
        </w:tc>
        <w:tc>
          <w:tcPr/>
          <w:p>
            <w:pPr>
              <w:pStyle w:val="Compact"/>
            </w:pPr>
            <w:r>
              <w:t xml:space="preserve">HRIT SSOT · ServiceNow (Kit Phase 2, gated)</w:t>
            </w:r>
          </w:p>
        </w:tc>
      </w:tr>
      <w:tr>
        <w:tc>
          <w:tcPr/>
          <w:p>
            <w:pPr>
              <w:pStyle w:val="Compact"/>
            </w:pPr>
            <w:r>
              <w:t xml:space="preserve">Vol X Book 00</w:t>
            </w:r>
          </w:p>
        </w:tc>
        <w:tc>
          <w:tcPr/>
          <w:p>
            <w:pPr>
              <w:pStyle w:val="Compact"/>
            </w:pPr>
            <w:r>
              <w:t xml:space="preserve">Compliance — Governance-Substrate Integration (overview)</w:t>
            </w:r>
          </w:p>
        </w:tc>
        <w:tc>
          <w:tcPr/>
          <w:p>
            <w:pPr>
              <w:pStyle w:val="Compact"/>
            </w:pPr>
            <w:r>
              <w:t xml:space="preserve">— (no new closures: routes and explains)</w:t>
            </w:r>
          </w:p>
        </w:tc>
        <w:tc>
          <w:tcPr/>
          <w:p>
            <w:pPr>
              <w:pStyle w:val="Compact"/>
            </w:pPr>
            <w:r>
              <w:t xml:space="preserve">Conformance layer · surface slots · evidence contract —</w:t>
            </w:r>
            <w:r>
              <w:t xml:space="preserve"> </w:t>
            </w:r>
            <w:r>
              <w:rPr>
                <w:b/>
                <w:bCs/>
              </w:rPr>
              <w:t xml:space="preserve">optional binding</w:t>
            </w:r>
          </w:p>
        </w:tc>
      </w:tr>
    </w:tbl>
    <w:p>
      <w:pPr>
        <w:pStyle w:val="BodyText"/>
      </w:pPr>
      <w:r>
        <w:t xml:space="preserve">The series closes with</w:t>
      </w:r>
      <w:r>
        <w:t xml:space="preserve"> </w:t>
      </w:r>
      <w:r>
        <w:rPr>
          <w:b/>
          <w:bCs/>
        </w:rPr>
        <w:t xml:space="preserve">Volume X — Governance-Substrate Integration</w:t>
      </w:r>
      <w:r>
        <w:t xml:space="preserve">: where</w:t>
      </w:r>
      <w:r>
        <w:t xml:space="preserve"> </w:t>
      </w:r>
      <w:r>
        <w:t xml:space="preserve">everything the volumes above produce lands as machine-checked evidence on a</w:t>
      </w:r>
      <w:r>
        <w:t xml:space="preserve"> </w:t>
      </w:r>
      <w:r>
        <w:t xml:space="preserve">governance substrate, and why that binding is</w:t>
      </w:r>
      <w:r>
        <w:t xml:space="preserve"> </w:t>
      </w:r>
      <w:r>
        <w:rPr>
          <w:b/>
          <w:bCs/>
        </w:rPr>
        <w:t xml:space="preserve">optional</w:t>
      </w:r>
      <w:r>
        <w:t xml:space="preserve">. The series stands</w:t>
      </w:r>
      <w:r>
        <w:t xml:space="preserve"> </w:t>
      </w:r>
      <w:r>
        <w:t xml:space="preserve">complete at FedRAMP Moderate on its own;</w:t>
      </w:r>
      <w:r>
        <w:t xml:space="preserve"> </w:t>
      </w:r>
      <w:r>
        <w:rPr>
          <w:b/>
          <w:bCs/>
        </w:rPr>
        <w:t xml:space="preserve">Compliance</w:t>
      </w:r>
      <w:r>
        <w:t xml:space="preserve"> </w:t>
      </w:r>
      <w:r>
        <w:t xml:space="preserve">(this series) and</w:t>
      </w:r>
      <w:r>
        <w:t xml:space="preserve"> </w:t>
      </w:r>
      <w:r>
        <w:rPr>
          <w:b/>
          <w:bCs/>
        </w:rPr>
        <w:t xml:space="preserve">Modernization</w:t>
      </w:r>
      <w:r>
        <w:t xml:space="preserve"> </w:t>
      </w:r>
      <w:r>
        <w:t xml:space="preserve">(modernization) are</w:t>
      </w:r>
      <w:r>
        <w:t xml:space="preserve"> </w:t>
      </w:r>
      <w:r>
        <w:t xml:space="preserve">designed to be implemented</w:t>
      </w:r>
      <w:r>
        <w:t xml:space="preserve"> </w:t>
      </w:r>
      <w:r>
        <w:rPr>
          <w:b/>
          <w:bCs/>
        </w:rPr>
        <w:t xml:space="preserve">together or entirely independently</w:t>
      </w:r>
      <w:r>
        <w:t xml:space="preserve">, in any</w:t>
      </w:r>
      <w:r>
        <w:t xml:space="preserve"> </w:t>
      </w:r>
      <w:r>
        <w:t xml:space="preserve">order, with neither a prerequisite for the other.</w:t>
      </w:r>
    </w:p>
    <w:bookmarkEnd w:id="14"/>
    <w:bookmarkStart w:id="15" w:name="fedramp-20x-hard-deadlines"/>
    <w:p>
      <w:pPr>
        <w:pStyle w:val="Heading2"/>
      </w:pPr>
      <w:r>
        <w:t xml:space="preserve">FedRAMP 20x Hard Deadlines</w:t>
      </w:r>
    </w:p>
    <w:p>
      <w:pPr>
        <w:pStyle w:val="TableCaption"/>
      </w:pPr>
      <w:r>
        <w:t xml:space="preserve">FedRAMP 20x Authorization Timeline</w:t>
      </w:r>
    </w:p>
    <w:tbl>
      <w:tblPr>
        <w:tblStyle w:val="Table"/>
        <w:tblW w:type="pct" w:w="5000"/>
        <w:tblLayout w:type="fixed"/>
        <w:tblLook w:firstRow="1" w:lastRow="0" w:firstColumn="0" w:lastColumn="0" w:noHBand="0" w:noVBand="0" w:val="0020"/>
        <w:tblCaption w:val="FedRAMP 20x Authorization Timeline"/>
      </w:tblPr>
      <w:tblGrid>
        <w:gridCol w:w="2160"/>
        <w:gridCol w:w="2880"/>
        <w:gridCol w:w="2880"/>
      </w:tblGrid>
      <w:tr>
        <w:trPr>
          <w:tblHeader w:val="on"/>
        </w:trPr>
        <w:tc>
          <w:tcPr/>
          <w:p>
            <w:pPr>
              <w:pStyle w:val="Compact"/>
            </w:pPr>
            <w:r>
              <w:t xml:space="preserve">Date</w:t>
            </w:r>
          </w:p>
        </w:tc>
        <w:tc>
          <w:tcPr/>
          <w:p>
            <w:pPr>
              <w:pStyle w:val="Compact"/>
            </w:pPr>
            <w:r>
              <w:t xml:space="preserve">Event</w:t>
            </w:r>
          </w:p>
        </w:tc>
        <w:tc>
          <w:tcPr/>
          <w:p>
            <w:pPr>
              <w:pStyle w:val="Compact"/>
            </w:pPr>
            <w:r>
              <w:t xml:space="preserve">Impact</w:t>
            </w:r>
          </w:p>
        </w:tc>
      </w:tr>
      <w:tr>
        <w:tc>
          <w:tcPr/>
          <w:p>
            <w:pPr>
              <w:pStyle w:val="Compact"/>
            </w:pPr>
            <w:r>
              <w:t xml:space="preserve">Jul 6, 2026</w:t>
            </w:r>
          </w:p>
        </w:tc>
        <w:tc>
          <w:tcPr/>
          <w:p>
            <w:pPr>
              <w:pStyle w:val="Compact"/>
            </w:pPr>
            <w:r>
              <w:t xml:space="preserve">20x Marketplace listings open</w:t>
            </w:r>
          </w:p>
        </w:tc>
        <w:tc>
          <w:tcPr/>
          <w:p>
            <w:pPr>
              <w:pStyle w:val="Compact"/>
            </w:pPr>
            <w:r>
              <w:t xml:space="preserve">CSPs may enter the initial implementation stage</w:t>
            </w:r>
          </w:p>
        </w:tc>
      </w:tr>
      <w:tr>
        <w:tc>
          <w:tcPr/>
          <w:p>
            <w:pPr>
              <w:pStyle w:val="Compact"/>
            </w:pPr>
            <w:r>
              <w:t xml:space="preserve">Jul 28, 2026</w:t>
            </w:r>
          </w:p>
        </w:tc>
        <w:tc>
          <w:tcPr/>
          <w:p>
            <w:pPr>
              <w:pStyle w:val="Compact"/>
            </w:pPr>
            <w:r>
              <w:t xml:space="preserve">FedRAMP Ready goes legacy</w:t>
            </w:r>
          </w:p>
        </w:tc>
        <w:tc>
          <w:tcPr/>
          <w:p>
            <w:pPr>
              <w:pStyle w:val="Compact"/>
            </w:pPr>
            <w:r>
              <w:t xml:space="preserve">No new Ready submissions accepted</w:t>
            </w:r>
          </w:p>
        </w:tc>
      </w:tr>
      <w:tr>
        <w:tc>
          <w:tcPr/>
          <w:p>
            <w:pPr>
              <w:pStyle w:val="Compact"/>
            </w:pPr>
            <w:r>
              <w:rPr>
                <w:b/>
                <w:bCs/>
              </w:rPr>
              <w:t xml:space="preserve">Aug 3, 2026</w:t>
            </w:r>
          </w:p>
        </w:tc>
        <w:tc>
          <w:tcPr/>
          <w:p>
            <w:pPr>
              <w:pStyle w:val="Compact"/>
            </w:pPr>
            <w:r>
              <w:t xml:space="preserve">FedRAMP 20x Class A opens</w:t>
            </w:r>
          </w:p>
        </w:tc>
        <w:tc>
          <w:tcPr/>
          <w:p>
            <w:pPr>
              <w:pStyle w:val="Compact"/>
            </w:pPr>
            <w:r>
              <w:t xml:space="preserve">First submission window for new authorizations</w:t>
            </w:r>
          </w:p>
        </w:tc>
      </w:tr>
      <w:tr>
        <w:tc>
          <w:tcPr/>
          <w:p>
            <w:pPr>
              <w:pStyle w:val="Compact"/>
            </w:pPr>
            <w:r>
              <w:t xml:space="preserve">Aug 10, 2026</w:t>
            </w:r>
          </w:p>
        </w:tc>
        <w:tc>
          <w:tcPr/>
          <w:p>
            <w:pPr>
              <w:pStyle w:val="Compact"/>
            </w:pPr>
            <w:r>
              <w:t xml:space="preserve">Temporary Rev5 Program Certification opens</w:t>
            </w:r>
          </w:p>
        </w:tc>
        <w:tc>
          <w:tcPr/>
          <w:p>
            <w:pPr>
              <w:pStyle w:val="Compact"/>
            </w:pPr>
            <w:r>
              <w:t xml:space="preserve">Class B/C Ready-conversion and lost-sponsor paths</w:t>
            </w:r>
          </w:p>
        </w:tc>
      </w:tr>
      <w:tr>
        <w:tc>
          <w:tcPr/>
          <w:p>
            <w:pPr>
              <w:pStyle w:val="Compact"/>
            </w:pPr>
            <w:r>
              <w:rPr>
                <w:b/>
                <w:bCs/>
              </w:rPr>
              <w:t xml:space="preserve">Aug 31, 2026</w:t>
            </w:r>
          </w:p>
        </w:tc>
        <w:tc>
          <w:tcPr/>
          <w:p>
            <w:pPr>
              <w:pStyle w:val="Compact"/>
            </w:pPr>
            <w:r>
              <w:t xml:space="preserve">Class B + C opens</w:t>
            </w:r>
          </w:p>
        </w:tc>
        <w:tc>
          <w:tcPr/>
          <w:p>
            <w:pPr>
              <w:pStyle w:val="Compact"/>
            </w:pPr>
            <w:r>
              <w:t xml:space="preserve">Class C (Moderate) CSO certifications open — the pipeline Agency’s inherited providers enter</w:t>
            </w:r>
          </w:p>
        </w:tc>
      </w:tr>
      <w:tr>
        <w:tc>
          <w:tcPr/>
          <w:p>
            <w:pPr>
              <w:pStyle w:val="Compact"/>
            </w:pPr>
            <w:r>
              <w:rPr>
                <w:b/>
                <w:bCs/>
              </w:rPr>
              <w:t xml:space="preserve">Dec 7, 2026</w:t>
            </w:r>
          </w:p>
        </w:tc>
        <w:tc>
          <w:tcPr/>
          <w:p>
            <w:pPr>
              <w:pStyle w:val="Compact"/>
            </w:pPr>
            <w:r>
              <w:t xml:space="preserve">FedRAMP VDR/VER rules mandatory (NTC-0014); BOD 26-04 remediation timelines in force</w:t>
            </w:r>
          </w:p>
        </w:tc>
        <w:tc>
          <w:tcPr/>
          <w:p>
            <w:pPr>
              <w:pStyle w:val="Compact"/>
            </w:pPr>
            <w:r>
              <w:t xml:space="preserve">FedRAMP’s Vulnerability Detection &amp; Response (VDR) and Vulnerability Evaluation &amp; Reporting (VER) rule sets become mandatory (NTC-0014), aligned to the same date CISA BOD 26-04’s risk-tiered remediation timelines take effect; KSI-011–014 become evaluable</w:t>
            </w:r>
          </w:p>
        </w:tc>
      </w:tr>
      <w:tr>
        <w:tc>
          <w:tcPr/>
          <w:p>
            <w:pPr>
              <w:pStyle w:val="Compact"/>
            </w:pPr>
            <w:r>
              <w:rPr>
                <w:b/>
                <w:bCs/>
              </w:rPr>
              <w:t xml:space="preserve">Jan 1, 2027</w:t>
            </w:r>
          </w:p>
        </w:tc>
        <w:tc>
          <w:tcPr/>
          <w:p>
            <w:pPr>
              <w:pStyle w:val="Compact"/>
            </w:pPr>
            <w:r>
              <w:t xml:space="preserve">FedRAMP 20x mandatory</w:t>
            </w:r>
          </w:p>
        </w:tc>
        <w:tc>
          <w:tcPr/>
          <w:p>
            <w:pPr>
              <w:pStyle w:val="Compact"/>
            </w:pPr>
            <w:r>
              <w:t xml:space="preserve">All new authorizations must use 20x; legacy Rev 5 path closes</w:t>
            </w:r>
          </w:p>
        </w:tc>
      </w:tr>
      <w:tr>
        <w:tc>
          <w:tcPr/>
          <w:p>
            <w:pPr>
              <w:pStyle w:val="Compact"/>
            </w:pPr>
            <w:r>
              <w:rPr>
                <w:b/>
                <w:bCs/>
              </w:rPr>
              <w:t xml:space="preserve">Jun 11, 2027</w:t>
            </w:r>
          </w:p>
        </w:tc>
        <w:tc>
          <w:tcPr/>
          <w:p>
            <w:pPr>
              <w:pStyle w:val="Compact"/>
            </w:pPr>
            <w:r>
              <w:t xml:space="preserve">New Rev 5 certs cease</w:t>
            </w:r>
          </w:p>
        </w:tc>
        <w:tc>
          <w:tcPr/>
          <w:p>
            <w:pPr>
              <w:pStyle w:val="Compact"/>
            </w:pPr>
            <w:r>
              <w:t xml:space="preserve">No new legacy authorizations after this date</w:t>
            </w:r>
          </w:p>
        </w:tc>
      </w:tr>
    </w:tbl>
    <w:bookmarkEnd w:id="15"/>
    <w:bookmarkStart w:id="16" w:name="the-broader-federal-clock"/>
    <w:p>
      <w:pPr>
        <w:pStyle w:val="Heading2"/>
      </w:pPr>
      <w:r>
        <w:t xml:space="preserve">The Broader Federal Clock</w:t>
      </w:r>
    </w:p>
    <w:p>
      <w:pPr>
        <w:pStyle w:val="FirstParagraph"/>
      </w:pPr>
      <w:r>
        <w:t xml:space="preserve">FedRAMP 20x is the nearest deadline family, not the only one. The dates below</w:t>
      </w:r>
      <w:r>
        <w:t xml:space="preserve"> </w:t>
      </w:r>
      <w:r>
        <w:t xml:space="preserve">are the other federal mandates whose clocks run against the same NIST control</w:t>
      </w:r>
      <w:r>
        <w:t xml:space="preserve"> </w:t>
      </w:r>
      <w:r>
        <w:t xml:space="preserve">families this series closes. The authoritative, fully-sourced timeline —</w:t>
      </w:r>
      <w:r>
        <w:t xml:space="preserve"> </w:t>
      </w:r>
      <w:r>
        <w:t xml:space="preserve">including the elapsed baseline (M-21-31 logging — rescinded 22 May 2026 by M-26-14 — M-21-07 IPv6, M-22-09 Zero</w:t>
      </w:r>
      <w:r>
        <w:t xml:space="preserve"> </w:t>
      </w:r>
      <w:r>
        <w:t xml:space="preserve">Trust, BOD 25-01 SCuBA) — is maintained in the companion document</w:t>
      </w:r>
      <w:r>
        <w:t xml:space="preserve"> </w:t>
      </w:r>
      <w:r>
        <w:rPr>
          <w:i/>
          <w:iCs/>
        </w:rPr>
        <w:t xml:space="preserve">Compliance / ConMon Compliance Gap Roadmap</w:t>
      </w:r>
      <w:r>
        <w:t xml:space="preserve">, which is the series’ single</w:t>
      </w:r>
      <w:r>
        <w:t xml:space="preserve"> </w:t>
      </w:r>
      <w:r>
        <w:t xml:space="preserve">source of truth for federal dates.</w:t>
      </w:r>
    </w:p>
    <w:p>
      <w:pPr>
        <w:pStyle w:val="TableCaption"/>
      </w:pPr>
      <w:r>
        <w:t xml:space="preserve">The broader federal clock — mandates beyond FedRAMP 20x</w:t>
      </w:r>
    </w:p>
    <w:tbl>
      <w:tblPr>
        <w:tblStyle w:val="Table"/>
        <w:tblW w:type="pct" w:w="5000"/>
        <w:tblLayout w:type="fixed"/>
        <w:tblLook w:firstRow="1" w:lastRow="0" w:firstColumn="0" w:lastColumn="0" w:noHBand="0" w:noVBand="0" w:val="0020"/>
        <w:tblCaption w:val="The broader federal clock — mandates beyond FedRAMP 20x"/>
      </w:tblPr>
      <w:tblGrid>
        <w:gridCol w:w="1357"/>
        <w:gridCol w:w="2036"/>
        <w:gridCol w:w="4525"/>
      </w:tblGrid>
      <w:tr>
        <w:trPr>
          <w:tblHeader w:val="on"/>
        </w:trPr>
        <w:tc>
          <w:tcPr/>
          <w:p>
            <w:pPr>
              <w:pStyle w:val="Compact"/>
            </w:pPr>
            <w:r>
              <w:t xml:space="preserve">Date</w:t>
            </w:r>
          </w:p>
        </w:tc>
        <w:tc>
          <w:tcPr/>
          <w:p>
            <w:pPr>
              <w:pStyle w:val="Compact"/>
            </w:pPr>
            <w:r>
              <w:t xml:space="preserve">Mandate</w:t>
            </w:r>
          </w:p>
        </w:tc>
        <w:tc>
          <w:tcPr/>
          <w:p>
            <w:pPr>
              <w:pStyle w:val="Compact"/>
            </w:pPr>
            <w:r>
              <w:t xml:space="preserve">What it means here</w:t>
            </w:r>
          </w:p>
        </w:tc>
      </w:tr>
      <w:tr>
        <w:tc>
          <w:tcPr/>
          <w:p>
            <w:pPr>
              <w:pStyle w:val="Compact"/>
            </w:pPr>
            <w:r>
              <w:rPr>
                <w:b/>
                <w:bCs/>
              </w:rPr>
              <w:t xml:space="preserve">Aug 7, 2026</w:t>
            </w:r>
          </w:p>
        </w:tc>
        <w:tc>
          <w:tcPr/>
          <w:p>
            <w:pPr>
              <w:pStyle w:val="Compact"/>
            </w:pPr>
            <w:r>
              <w:t xml:space="preserve">BOD 26-04 agency policies due</w:t>
            </w:r>
          </w:p>
        </w:tc>
        <w:tc>
          <w:tcPr/>
          <w:p>
            <w:pPr>
              <w:pStyle w:val="Compact"/>
            </w:pPr>
            <w:r>
              <w:t xml:space="preserve">Vulnerability-management policy must support risk-based remediation (Vol III Book 02 — Vulnerability Management)</w:t>
            </w:r>
          </w:p>
        </w:tc>
      </w:tr>
      <w:tr>
        <w:tc>
          <w:tcPr/>
          <w:p>
            <w:pPr>
              <w:pStyle w:val="Compact"/>
            </w:pPr>
            <w:r>
              <w:rPr>
                <w:b/>
                <w:bCs/>
              </w:rPr>
              <w:t xml:space="preserve">Sep 21, 2026</w:t>
            </w:r>
          </w:p>
        </w:tc>
        <w:tc>
          <w:tcPr/>
          <w:p>
            <w:pPr>
              <w:pStyle w:val="Compact"/>
            </w:pPr>
            <w:r>
              <w:t xml:space="preserve">FIPS 140-2 certificates → NIST Historical List</w:t>
            </w:r>
          </w:p>
        </w:tc>
        <w:tc>
          <w:tcPr/>
          <w:p>
            <w:pPr>
              <w:pStyle w:val="Compact"/>
            </w:pPr>
            <w:r>
              <w:t xml:space="preserve">No new procurement reliance on 140-2-only modules; verify FIPS 140-3 tracking (SC-13 — Vol I Book 03 and Vol III Book 05)</w:t>
            </w:r>
          </w:p>
        </w:tc>
      </w:tr>
      <w:tr>
        <w:tc>
          <w:tcPr/>
          <w:p>
            <w:pPr>
              <w:pStyle w:val="Compact"/>
            </w:pPr>
            <w:r>
              <w:rPr>
                <w:b/>
                <w:bCs/>
              </w:rPr>
              <w:t xml:space="preserve">Dec 7, 2026</w:t>
            </w:r>
          </w:p>
        </w:tc>
        <w:tc>
          <w:tcPr/>
          <w:p>
            <w:pPr>
              <w:pStyle w:val="Compact"/>
            </w:pPr>
            <w:r>
              <w:t xml:space="preserve">BOD 26-04 remediation timelines in force</w:t>
            </w:r>
          </w:p>
        </w:tc>
        <w:tc>
          <w:tcPr/>
          <w:p>
            <w:pPr>
              <w:pStyle w:val="Compact"/>
            </w:pPr>
            <w:r>
              <w:t xml:space="preserve">Four-variable risk model live: 3-day KEV+exposed tier through deferral (Vol III Book 02)</w:t>
            </w:r>
          </w:p>
        </w:tc>
      </w:tr>
      <w:tr>
        <w:tc>
          <w:tcPr/>
          <w:p>
            <w:pPr>
              <w:pStyle w:val="Compact"/>
            </w:pPr>
            <w:r>
              <w:t xml:space="preserve">Jan 1, 2027</w:t>
            </w:r>
          </w:p>
        </w:tc>
        <w:tc>
          <w:tcPr/>
          <w:p>
            <w:pPr>
              <w:pStyle w:val="Compact"/>
            </w:pPr>
            <w:r>
              <w:t xml:space="preserve">CNSA 2.0 acquisition requirement (NSS-scoped)</w:t>
            </w:r>
          </w:p>
        </w:tc>
        <w:tc>
          <w:tcPr/>
          <w:p>
            <w:pPr>
              <w:pStyle w:val="Compact"/>
            </w:pPr>
            <w:r>
              <w:t xml:space="preserve">New NSS acquisitions must</w:t>
            </w:r>
            <w:r>
              <w:t xml:space="preserve"> </w:t>
            </w:r>
            <w:r>
              <w:rPr>
                <w:b/>
                <w:bCs/>
              </w:rPr>
              <w:t xml:space="preserve">support</w:t>
            </w:r>
            <w:r>
              <w:t xml:space="preserve"> </w:t>
            </w:r>
            <w:r>
              <w:t xml:space="preserve">ML-KEM-1024 + ML-DSA-87 unless an exception is explicitly noted in the acquisition documentation (NSA CNSA 2.0 FAQ); civilian PQC trajectory follows via M-23-02</w:t>
            </w:r>
          </w:p>
        </w:tc>
      </w:tr>
      <w:tr>
        <w:tc>
          <w:tcPr/>
          <w:p>
            <w:pPr>
              <w:pStyle w:val="Compact"/>
            </w:pPr>
            <w:r>
              <w:t xml:space="preserve">Feb / Aug windows</w:t>
            </w:r>
          </w:p>
        </w:tc>
        <w:tc>
          <w:tcPr/>
          <w:p>
            <w:pPr>
              <w:pStyle w:val="Compact"/>
            </w:pPr>
            <w:r>
              <w:t xml:space="preserve">Future NIST SP 800-53 releases</w:t>
            </w:r>
          </w:p>
        </w:tc>
        <w:tc>
          <w:tcPr/>
          <w:p>
            <w:pPr>
              <w:pStyle w:val="Compact"/>
            </w:pPr>
            <w:r>
              <w:t xml:space="preserve">NIST issues</w:t>
            </w:r>
            <w:r>
              <w:t xml:space="preserve"> </w:t>
            </w:r>
            <w:r>
              <w:rPr>
                <w:b/>
                <w:bCs/>
              </w:rPr>
              <w:t xml:space="preserve">minor</w:t>
            </w:r>
            <w:r>
              <w:t xml:space="preserve"> </w:t>
            </w:r>
            <w:r>
              <w:t xml:space="preserve">releases in its February and August windows (up to twice yearly) and a</w:t>
            </w:r>
            <w:r>
              <w:t xml:space="preserve"> </w:t>
            </w:r>
            <w:r>
              <w:rPr>
                <w:b/>
                <w:bCs/>
              </w:rPr>
              <w:t xml:space="preserve">major</w:t>
            </w:r>
            <w:r>
              <w:t xml:space="preserve"> </w:t>
            </w:r>
            <w:r>
              <w:t xml:space="preserve">release/Revision every 2 years; Release 5.2.0 (Aug 27, 2025) was a</w:t>
            </w:r>
            <w:r>
              <w:t xml:space="preserve"> </w:t>
            </w:r>
            <w:r>
              <w:rPr>
                <w:i/>
                <w:iCs/>
              </w:rPr>
              <w:t xml:space="preserve">minor</w:t>
            </w:r>
            <w:r>
              <w:t xml:space="preserve"> </w:t>
            </w:r>
            <w:r>
              <w:t xml:space="preserve">release adding SA-15(13), SA-24, SI-2(7) — not yet mapped in Vol III Book 02 or Vol IV Book 02; tracked in the roadmap</w:t>
            </w:r>
          </w:p>
        </w:tc>
      </w:tr>
      <w:tr>
        <w:tc>
          <w:tcPr/>
          <w:p>
            <w:pPr>
              <w:pStyle w:val="Compact"/>
            </w:pPr>
            <w:r>
              <w:t xml:space="preserve">2030 / 2035</w:t>
            </w:r>
          </w:p>
        </w:tc>
        <w:tc>
          <w:tcPr/>
          <w:p>
            <w:pPr>
              <w:pStyle w:val="Compact"/>
            </w:pPr>
            <w:r>
              <w:t xml:space="preserve">Quantum-vulnerable crypto deprecated / prohibited</w:t>
            </w:r>
          </w:p>
        </w:tc>
        <w:tc>
          <w:tcPr/>
          <w:p>
            <w:pPr>
              <w:pStyle w:val="Compact"/>
            </w:pPr>
            <w:r>
              <w:t xml:space="preserve">M-23-02 annual crypto inventories run through the 2035 migration horizon (Vol I Book 03 and Vol III Book 05)</w:t>
            </w:r>
          </w:p>
        </w:tc>
      </w:tr>
    </w:tbl>
    <w:p>
      <w:r>
        <w:pict>
          <v:rect style="width:0;height:1.5pt" o:hralign="center" o:hrstd="t" o:hr="t"/>
        </w:pict>
      </w:r>
    </w:p>
    <w:bookmarkEnd w:id="16"/>
    <w:bookmarkStart w:id="17" w:name="the-functional-plane-model"/>
    <w:p>
      <w:pPr>
        <w:pStyle w:val="Heading1"/>
      </w:pPr>
      <w:r>
        <w:t xml:space="preserve">The Functional Plane Model</w:t>
      </w:r>
    </w:p>
    <w:p>
      <w:pPr>
        <w:pStyle w:val="FirstParagraph"/>
      </w:pPr>
      <w:r>
        <w:t xml:space="preserve">This series describes</w:t>
      </w:r>
      <w:r>
        <w:t xml:space="preserve"> </w:t>
      </w:r>
      <w:r>
        <w:rPr>
          <w:b/>
          <w:bCs/>
        </w:rPr>
        <w:t xml:space="preserve">functions, not organizations</w:t>
      </w:r>
      <w:r>
        <w:t xml:space="preserve">. Every capability named</w:t>
      </w:r>
      <w:r>
        <w:t xml:space="preserve"> </w:t>
      </w:r>
      <w:r>
        <w:t xml:space="preserve">across these eleven volumes belongs to one of seven functional planes — including the</w:t>
      </w:r>
      <w:r>
        <w:t xml:space="preserve"> </w:t>
      </w:r>
      <w:r>
        <w:t xml:space="preserve">coordination capabilities of Volumes VII–IX, which live on the workflow/enforcement</w:t>
      </w:r>
      <w:r>
        <w:t xml:space="preserve"> </w:t>
      </w:r>
      <w:r>
        <w:t xml:space="preserve">and naming planes (ServiceNow on plane 6/7, multi-cloud DDI on plane 2). The planes are</w:t>
      </w:r>
      <w:r>
        <w:t xml:space="preserve"> </w:t>
      </w:r>
      <w:r>
        <w:t xml:space="preserve">architectural facts — they exist in every enterprise regardless of how the org</w:t>
      </w:r>
      <w:r>
        <w:t xml:space="preserve"> </w:t>
      </w:r>
      <w:r>
        <w:t xml:space="preserve">chart divides them — so any agency can map its own structure onto the model</w:t>
      </w:r>
      <w:r>
        <w:t xml:space="preserve"> </w:t>
      </w:r>
      <w:r>
        <w:t xml:space="preserve">without the model taking a position on whose structure is correct.</w:t>
      </w:r>
    </w:p>
    <w:p>
      <w:pPr>
        <w:pStyle w:val="TableCaption"/>
      </w:pPr>
      <w:r>
        <w:t xml:space="preserve">The Seven Functional Planes</w:t>
      </w:r>
    </w:p>
    <w:tbl>
      <w:tblPr>
        <w:tblStyle w:val="Table"/>
        <w:tblW w:type="pct" w:w="5000"/>
        <w:tblLayout w:type="fixed"/>
        <w:tblLook w:firstRow="1" w:lastRow="0" w:firstColumn="0" w:lastColumn="0" w:noHBand="0" w:noVBand="0" w:val="0020"/>
        <w:tblCaption w:val="The Seven Functional Planes"/>
      </w:tblPr>
      <w:tblGrid>
        <w:gridCol w:w="1980"/>
        <w:gridCol w:w="1980"/>
        <w:gridCol w:w="1980"/>
        <w:gridCol w:w="1980"/>
      </w:tblGrid>
      <w:tr>
        <w:trPr>
          <w:tblHeader w:val="on"/>
        </w:trPr>
        <w:tc>
          <w:tcPr/>
          <w:p>
            <w:pPr>
              <w:pStyle w:val="Compact"/>
            </w:pPr>
            <w:r>
              <w:t xml:space="preserve">Plane</w:t>
            </w:r>
          </w:p>
        </w:tc>
        <w:tc>
          <w:tcPr/>
          <w:p>
            <w:pPr>
              <w:pStyle w:val="Compact"/>
            </w:pPr>
            <w:r>
              <w:t xml:space="preserve">Function</w:t>
            </w:r>
          </w:p>
        </w:tc>
        <w:tc>
          <w:tcPr/>
          <w:p>
            <w:pPr>
              <w:pStyle w:val="Compact"/>
            </w:pPr>
            <w:r>
              <w:t xml:space="preserve">Representative capabilities</w:t>
            </w:r>
          </w:p>
        </w:tc>
        <w:tc>
          <w:tcPr/>
          <w:p>
            <w:pPr>
              <w:pStyle w:val="Compact"/>
            </w:pPr>
            <w:r>
              <w:t xml:space="preserve">Series home</w:t>
            </w:r>
          </w:p>
        </w:tc>
      </w:tr>
      <w:tr>
        <w:tc>
          <w:tcPr/>
          <w:p>
            <w:pPr>
              <w:pStyle w:val="Compact"/>
            </w:pPr>
            <w:r>
              <w:rPr>
                <w:b/>
                <w:bCs/>
              </w:rPr>
              <w:t xml:space="preserve">1 — Transport</w:t>
            </w:r>
          </w:p>
        </w:tc>
        <w:tc>
          <w:tcPr/>
          <w:p>
            <w:pPr>
              <w:pStyle w:val="Compact"/>
            </w:pPr>
            <w:r>
              <w:t xml:space="preserve">Move packets between sites and clouds</w:t>
            </w:r>
          </w:p>
        </w:tc>
        <w:tc>
          <w:tcPr/>
          <w:p>
            <w:pPr>
              <w:pStyle w:val="Compact"/>
            </w:pPr>
            <w:r>
              <w:t xml:space="preserve">Circuits, MPLS → DIA, SD-WAN overlay, path selection, QoS</w:t>
            </w:r>
          </w:p>
        </w:tc>
        <w:tc>
          <w:tcPr/>
          <w:p>
            <w:pPr>
              <w:pStyle w:val="Compact"/>
            </w:pPr>
            <w:r>
              <w:t xml:space="preserve">Vol I Book 06, Vol II Book 03</w:t>
            </w:r>
          </w:p>
        </w:tc>
      </w:tr>
      <w:tr>
        <w:tc>
          <w:tcPr/>
          <w:p>
            <w:pPr>
              <w:pStyle w:val="Compact"/>
            </w:pPr>
            <w:r>
              <w:rPr>
                <w:b/>
                <w:bCs/>
              </w:rPr>
              <w:t xml:space="preserve">2 — Naming &amp; addressing</w:t>
            </w:r>
          </w:p>
        </w:tc>
        <w:tc>
          <w:tcPr/>
          <w:p>
            <w:pPr>
              <w:pStyle w:val="Compact"/>
            </w:pPr>
            <w:r>
              <w:t xml:space="preserve">Assert what things are called and where they live</w:t>
            </w:r>
          </w:p>
        </w:tc>
        <w:tc>
          <w:tcPr/>
          <w:p>
            <w:pPr>
              <w:pStyle w:val="Compact"/>
            </w:pPr>
            <w:r>
              <w:t xml:space="preserve">DNS, DHCP, IPAM, DNSSEC, RPZ, certificate issuance (DDI + PKI)</w:t>
            </w:r>
          </w:p>
        </w:tc>
        <w:tc>
          <w:tcPr/>
          <w:p>
            <w:pPr>
              <w:pStyle w:val="Compact"/>
            </w:pPr>
            <w:r>
              <w:t xml:space="preserve">Vol I Books 01, 03</w:t>
            </w:r>
          </w:p>
        </w:tc>
      </w:tr>
      <w:tr>
        <w:tc>
          <w:tcPr/>
          <w:p>
            <w:pPr>
              <w:pStyle w:val="Compact"/>
            </w:pPr>
            <w:r>
              <w:rPr>
                <w:b/>
                <w:bCs/>
              </w:rPr>
              <w:t xml:space="preserve">3 — Identity</w:t>
            </w:r>
          </w:p>
        </w:tc>
        <w:tc>
          <w:tcPr/>
          <w:p>
            <w:pPr>
              <w:pStyle w:val="Compact"/>
            </w:pPr>
            <w:r>
              <w:t xml:space="preserve">Assert who and what is requesting</w:t>
            </w:r>
          </w:p>
        </w:tc>
        <w:tc>
          <w:tcPr/>
          <w:p>
            <w:pPr>
              <w:pStyle w:val="Compact"/>
            </w:pPr>
            <w:r>
              <w:t xml:space="preserve">Device identity (NAC/802.1X), user identity (Entra ID), workload identity, tokens (OAuth/OIDC, CBA)</w:t>
            </w:r>
          </w:p>
        </w:tc>
        <w:tc>
          <w:tcPr/>
          <w:p>
            <w:pPr>
              <w:pStyle w:val="Compact"/>
            </w:pPr>
            <w:r>
              <w:t xml:space="preserve">Vol I Books 02, 03, 04, 06</w:t>
            </w:r>
          </w:p>
        </w:tc>
      </w:tr>
      <w:tr>
        <w:tc>
          <w:tcPr/>
          <w:p>
            <w:pPr>
              <w:pStyle w:val="Compact"/>
            </w:pPr>
            <w:r>
              <w:rPr>
                <w:b/>
                <w:bCs/>
              </w:rPr>
              <w:t xml:space="preserve">4 — Policy enforcement</w:t>
            </w:r>
          </w:p>
        </w:tc>
        <w:tc>
          <w:tcPr/>
          <w:p>
            <w:pPr>
              <w:pStyle w:val="Compact"/>
            </w:pPr>
            <w:r>
              <w:t xml:space="preserve">Decide and enforce per session</w:t>
            </w:r>
          </w:p>
        </w:tc>
        <w:tc>
          <w:tcPr/>
          <w:p>
            <w:pPr>
              <w:pStyle w:val="Compact"/>
            </w:pPr>
            <w:r>
              <w:t xml:space="preserve">SASE (SWG/CASB/FWaaS), ZTNA, TIC 3.0 PEPs, Conditional Access</w:t>
            </w:r>
          </w:p>
        </w:tc>
        <w:tc>
          <w:tcPr/>
          <w:p>
            <w:pPr>
              <w:pStyle w:val="Compact"/>
            </w:pPr>
            <w:r>
              <w:t xml:space="preserve">Vol I Books 05, 06</w:t>
            </w:r>
          </w:p>
        </w:tc>
      </w:tr>
      <w:tr>
        <w:tc>
          <w:tcPr/>
          <w:p>
            <w:pPr>
              <w:pStyle w:val="Compact"/>
            </w:pPr>
            <w:r>
              <w:rPr>
                <w:b/>
                <w:bCs/>
              </w:rPr>
              <w:t xml:space="preserve">5 — Application &amp; experience</w:t>
            </w:r>
          </w:p>
        </w:tc>
        <w:tc>
          <w:tcPr/>
          <w:p>
            <w:pPr>
              <w:pStyle w:val="Compact"/>
            </w:pPr>
            <w:r>
              <w:t xml:space="preserve">Deliver the mission service</w:t>
            </w:r>
          </w:p>
        </w:tc>
        <w:tc>
          <w:tcPr/>
          <w:p>
            <w:pPr>
              <w:pStyle w:val="Compact"/>
            </w:pPr>
            <w:r>
              <w:t xml:space="preserve">Contact center, unified communications, business applications, databases</w:t>
            </w:r>
          </w:p>
        </w:tc>
        <w:tc>
          <w:tcPr/>
          <w:p>
            <w:pPr>
              <w:pStyle w:val="Compact"/>
            </w:pPr>
            <w:r>
              <w:t xml:space="preserve">Vol I Book 06 and Vol II</w:t>
            </w:r>
          </w:p>
        </w:tc>
      </w:tr>
      <w:tr>
        <w:tc>
          <w:tcPr/>
          <w:p>
            <w:pPr>
              <w:pStyle w:val="Compact"/>
            </w:pPr>
            <w:r>
              <w:rPr>
                <w:b/>
                <w:bCs/>
              </w:rPr>
              <w:t xml:space="preserve">6 — Evidence &amp; telemetry</w:t>
            </w:r>
          </w:p>
        </w:tc>
        <w:tc>
          <w:tcPr/>
          <w:p>
            <w:pPr>
              <w:pStyle w:val="Compact"/>
            </w:pPr>
            <w:r>
              <w:t xml:space="preserve">Prove continuously what happened</w:t>
            </w:r>
          </w:p>
        </w:tc>
        <w:tc>
          <w:tcPr/>
          <w:p>
            <w:pPr>
              <w:pStyle w:val="Compact"/>
            </w:pPr>
            <w:r>
              <w:t xml:space="preserve">SIEM/XDR, per-session records, OSCAL bundle, KSI evidence pipeline</w:t>
            </w:r>
          </w:p>
        </w:tc>
        <w:tc>
          <w:tcPr/>
          <w:p>
            <w:pPr>
              <w:pStyle w:val="Compact"/>
            </w:pPr>
            <w:r>
              <w:t xml:space="preserve">Vol III Book 06, Vol IV Book 06</w:t>
            </w:r>
          </w:p>
        </w:tc>
      </w:tr>
      <w:tr>
        <w:tc>
          <w:tcPr/>
          <w:p>
            <w:pPr>
              <w:pStyle w:val="Compact"/>
            </w:pPr>
            <w:r>
              <w:rPr>
                <w:b/>
                <w:bCs/>
              </w:rPr>
              <w:t xml:space="preserve">7 — Configuration &amp; remediation</w:t>
            </w:r>
          </w:p>
        </w:tc>
        <w:tc>
          <w:tcPr/>
          <w:p>
            <w:pPr>
              <w:pStyle w:val="Compact"/>
            </w:pPr>
            <w:r>
              <w:t xml:space="preserve">Actuate and hold patch and baseline state across platforms</w:t>
            </w:r>
          </w:p>
        </w:tc>
        <w:tc>
          <w:tcPr/>
          <w:p>
            <w:pPr>
              <w:pStyle w:val="Compact"/>
            </w:pPr>
            <w:r>
              <w:t xml:space="preserve">Intune/Arc, AWS SSM, OCI OS Management Hub/Ksplice, VMware vLCM, Red Hat Satellite/Ansible; the unified compliance-record emitter</w:t>
            </w:r>
          </w:p>
        </w:tc>
        <w:tc>
          <w:tcPr/>
          <w:p>
            <w:pPr>
              <w:pStyle w:val="Compact"/>
            </w:pPr>
            <w:r>
              <w:t xml:space="preserve">Vol III Book 02 + Vol III Book 03 (Patch &amp; Systems Management)</w:t>
            </w:r>
          </w:p>
        </w:tc>
      </w:tr>
    </w:tbl>
    <w:p>
      <w:pPr>
        <w:pStyle w:val="BodyText"/>
      </w:pPr>
      <w:r>
        <w:t xml:space="preserve">The planes are not peers. The series’ organizing principle —</w:t>
      </w:r>
      <w:r>
        <w:t xml:space="preserve"> </w:t>
      </w:r>
      <w:r>
        <w:rPr>
          <w:b/>
          <w:bCs/>
        </w:rPr>
        <w:t xml:space="preserve">separate truth</w:t>
      </w:r>
      <w:r>
        <w:rPr>
          <w:b/>
          <w:bCs/>
        </w:rPr>
        <w:t xml:space="preserve"> </w:t>
      </w:r>
      <w:r>
        <w:rPr>
          <w:b/>
          <w:bCs/>
        </w:rPr>
        <w:t xml:space="preserve">from enforcement</w:t>
      </w:r>
      <w:r>
        <w:t xml:space="preserve"> </w:t>
      </w:r>
      <w:r>
        <w:t xml:space="preserve">— imposes a hierarchy: planes 2, 3, and 6 are</w:t>
      </w:r>
      <w:r>
        <w:t xml:space="preserve"> </w:t>
      </w:r>
      <w:r>
        <w:rPr>
          <w:b/>
          <w:bCs/>
        </w:rPr>
        <w:t xml:space="preserve">truth</w:t>
      </w:r>
      <w:r>
        <w:rPr>
          <w:b/>
          <w:bCs/>
        </w:rPr>
        <w:t xml:space="preserve"> </w:t>
      </w:r>
      <w:r>
        <w:rPr>
          <w:b/>
          <w:bCs/>
        </w:rPr>
        <w:t xml:space="preserve">planes</w:t>
      </w:r>
      <w:r>
        <w:t xml:space="preserve"> </w:t>
      </w:r>
      <w:r>
        <w:t xml:space="preserve">(they assert what is), planes 1, 4, and 7 are</w:t>
      </w:r>
      <w:r>
        <w:t xml:space="preserve"> </w:t>
      </w:r>
      <w:r>
        <w:rPr>
          <w:b/>
          <w:bCs/>
        </w:rPr>
        <w:t xml:space="preserve">enforcement planes</w:t>
      </w:r>
      <w:r>
        <w:t xml:space="preserve"> </w:t>
      </w:r>
      <w:r>
        <w:t xml:space="preserve">(they act on those assertions), and plane 5 consumes both. The distinction matters</w:t>
      </w:r>
      <w:r>
        <w:t xml:space="preserve"> </w:t>
      </w:r>
      <w:r>
        <w:t xml:space="preserve">because enforcement planes can be re-platformed, absorbed, or replaced — MPLS</w:t>
      </w:r>
      <w:r>
        <w:t xml:space="preserve"> </w:t>
      </w:r>
      <w:r>
        <w:t xml:space="preserve">became SD-WAN; the VPN concentrator became ZTNA; the branch firewall became a</w:t>
      </w:r>
      <w:r>
        <w:t xml:space="preserve"> </w:t>
      </w:r>
      <w:r>
        <w:t xml:space="preserve">SASE PoP — while truth planes can only be</w:t>
      </w:r>
      <w:r>
        <w:t xml:space="preserve"> </w:t>
      </w:r>
      <w:r>
        <w:rPr>
          <w:b/>
          <w:bCs/>
        </w:rPr>
        <w:t xml:space="preserve">depended on</w:t>
      </w:r>
      <w:r>
        <w:t xml:space="preserve">. Every enforcement</w:t>
      </w:r>
      <w:r>
        <w:t xml:space="preserve"> </w:t>
      </w:r>
      <w:r>
        <w:t xml:space="preserve">decision in this architecture resolves a name, validates a certificate, or</w:t>
      </w:r>
      <w:r>
        <w:t xml:space="preserve"> </w:t>
      </w:r>
      <w:r>
        <w:t xml:space="preserve">evaluates a token before it acts. The truth planes are where the architecture’s</w:t>
      </w:r>
      <w:r>
        <w:t xml:space="preserve"> </w:t>
      </w:r>
      <w:r>
        <w:t xml:space="preserve">authority lives; the enforcement planes are where its will is done.</w:t>
      </w:r>
    </w:p>
    <w:bookmarkEnd w:id="17"/>
    <w:bookmarkStart w:id="19" w:name="the-closure-necessity-doctrine"/>
    <w:p>
      <w:pPr>
        <w:pStyle w:val="Heading1"/>
      </w:pPr>
      <w:r>
        <w:t xml:space="preserve">The Closure Necessity Doctrine</w:t>
      </w:r>
    </w:p>
    <w:p>
      <w:pPr>
        <w:pStyle w:val="FirstParagraph"/>
      </w:pPr>
      <w:r>
        <w:t xml:space="preserve">The claim this series makes is stronger than</w:t>
      </w:r>
      <w:r>
        <w:t xml:space="preserve"> </w:t>
      </w:r>
      <w:r>
        <w:t xml:space="preserve">“recommended”</w:t>
      </w:r>
      <w:r>
        <w:t xml:space="preserve"> </w:t>
      </w:r>
      <w:r>
        <w:t xml:space="preserve">and it is falsifiable:</w:t>
      </w:r>
      <w:r>
        <w:t xml:space="preserve"> </w:t>
      </w:r>
      <w:r>
        <w:t xml:space="preserve">for a specific, enumerable set of NIST SP 800-53 Rev 5 controls, three</w:t>
      </w:r>
      <w:r>
        <w:t xml:space="preserve"> </w:t>
      </w:r>
      <w:r>
        <w:t xml:space="preserve">technologies are the</w:t>
      </w:r>
      <w:r>
        <w:t xml:space="preserve"> </w:t>
      </w:r>
      <w:r>
        <w:rPr>
          <w:b/>
          <w:bCs/>
        </w:rPr>
        <w:t xml:space="preserve">only</w:t>
      </w:r>
      <w:r>
        <w:t xml:space="preserve"> </w:t>
      </w:r>
      <w:r>
        <w:t xml:space="preserve">closure mechanisms — every</w:t>
      </w:r>
      <w:r>
        <w:t xml:space="preserve"> </w:t>
      </w:r>
      <w:r>
        <w:t xml:space="preserve">“required”</w:t>
      </w:r>
      <w:r>
        <w:t xml:space="preserve"> </w:t>
      </w:r>
      <w:r>
        <w:t xml:space="preserve">in this</w:t>
      </w:r>
      <w:r>
        <w:t xml:space="preserve"> </w:t>
      </w:r>
      <w:r>
        <w:t xml:space="preserve">series pairs with the control text, physics, or protocol behavior that makes</w:t>
      </w:r>
      <w:r>
        <w:t xml:space="preserve"> </w:t>
      </w:r>
      <w:r>
        <w:t xml:space="preserve">the alternatives impossible, never with an adjective.</w:t>
      </w:r>
    </w:p>
    <w:p>
      <w:pPr>
        <w:pStyle w:val="TableCaption"/>
      </w:pPr>
      <w:r>
        <w:t xml:space="preserve">The Three Necessity Anchors</w:t>
      </w:r>
    </w:p>
    <w:tbl>
      <w:tblPr>
        <w:tblStyle w:val="Table"/>
        <w:tblW w:type="pct" w:w="5000"/>
        <w:tblLayout w:type="fixed"/>
        <w:tblLook w:firstRow="1" w:lastRow="0" w:firstColumn="0" w:lastColumn="0" w:noHBand="0" w:noVBand="0" w:val="0020"/>
        <w:tblCaption w:val="The Three Necessity Anchors"/>
      </w:tblPr>
      <w:tblGrid>
        <w:gridCol w:w="2640"/>
        <w:gridCol w:w="2640"/>
        <w:gridCol w:w="2640"/>
      </w:tblGrid>
      <w:tr>
        <w:trPr>
          <w:tblHeader w:val="on"/>
        </w:trPr>
        <w:tc>
          <w:tcPr/>
          <w:p>
            <w:pPr>
              <w:pStyle w:val="Compact"/>
            </w:pPr>
            <w:r>
              <w:t xml:space="preserve">Required technology</w:t>
            </w:r>
          </w:p>
        </w:tc>
        <w:tc>
          <w:tcPr/>
          <w:p>
            <w:pPr>
              <w:pStyle w:val="Compact"/>
            </w:pPr>
            <w:r>
              <w:t xml:space="preserve">Controls with no alternate closure path</w:t>
            </w:r>
          </w:p>
        </w:tc>
        <w:tc>
          <w:tcPr/>
          <w:p>
            <w:pPr>
              <w:pStyle w:val="Compact"/>
            </w:pPr>
            <w:r>
              <w:t xml:space="preserve">Why no alternative exists</w:t>
            </w:r>
          </w:p>
        </w:tc>
      </w:tr>
      <w:tr>
        <w:tc>
          <w:tcPr/>
          <w:p>
            <w:pPr>
              <w:pStyle w:val="Compact"/>
            </w:pPr>
            <w:r>
              <w:rPr>
                <w:b/>
                <w:bCs/>
              </w:rPr>
              <w:t xml:space="preserve">IPAM/DDI</w:t>
            </w:r>
            <w:r>
              <w:t xml:space="preserve"> </w:t>
            </w:r>
            <w:r>
              <w:t xml:space="preserve">— authoritative naming and addressing plane</w:t>
            </w:r>
          </w:p>
        </w:tc>
        <w:tc>
          <w:tcPr/>
          <w:p>
            <w:pPr>
              <w:pStyle w:val="Compact"/>
            </w:pPr>
            <w:r>
              <w:t xml:space="preserve">SC-20, SC-20(1), SC-21, SC-22 (authoritative/recursive DNS); CM-8, CM-8(1) (component inventory); IA-9 (service identification)</w:t>
            </w:r>
          </w:p>
        </w:tc>
        <w:tc>
          <w:tcPr/>
          <w:p>
            <w:pPr>
              <w:pStyle w:val="Compact"/>
            </w:pPr>
            <w:r>
              <w:t xml:space="preserve">You cannot attest authoritative name resolution without an authoritative resolver, and you cannot inventory what you cannot enumerate. No scanner creates a source of truth — a scanner can only measure drift from one.</w:t>
            </w:r>
          </w:p>
        </w:tc>
      </w:tr>
      <w:tr>
        <w:tc>
          <w:tcPr/>
          <w:p>
            <w:pPr>
              <w:pStyle w:val="Compact"/>
            </w:pPr>
            <w:r>
              <w:rPr>
                <w:b/>
                <w:bCs/>
              </w:rPr>
              <w:t xml:space="preserve">SD-WAN</w:t>
            </w:r>
            <w:r>
              <w:t xml:space="preserve"> </w:t>
            </w:r>
            <w:r>
              <w:t xml:space="preserve">— encrypted, application-aware transport overlay</w:t>
            </w:r>
          </w:p>
        </w:tc>
        <w:tc>
          <w:tcPr/>
          <w:p>
            <w:pPr>
              <w:pStyle w:val="Compact"/>
            </w:pPr>
            <w:r>
              <w:t xml:space="preserve">SC-8, SC-8(1) on DIA circuits (network-layer encryption); SC-5 (traffic-class separation); SI-4 (application-layer telemetry on transport)</w:t>
            </w:r>
          </w:p>
        </w:tc>
        <w:tc>
          <w:tcPr/>
          <w:p>
            <w:pPr>
              <w:pStyle w:val="Compact"/>
            </w:pPr>
            <w:r>
              <w:t xml:space="preserve">A pipe has no encryption, no path intelligence, and no telemetry. Physics gives DIA lower latency; only the overlay gives it a control surface. FIPS-validated application-layer TLS closes SC-8 per flow, but only a network-layer overlay closes it for</w:t>
            </w:r>
            <w:r>
              <w:t xml:space="preserve"> </w:t>
            </w:r>
            <w:r>
              <w:rPr>
                <w:i/>
                <w:iCs/>
              </w:rPr>
              <w:t xml:space="preserve">every</w:t>
            </w:r>
            <w:r>
              <w:t xml:space="preserve"> </w:t>
            </w:r>
            <w:r>
              <w:t xml:space="preserve">flow on the circuit at once — and among overlay classes SD-WAN is the one that also delivers the SC-5 traffic-class and SI-4 telemetry closures. (On a field-office circuit egressing over the public internet, the SC-8(5) physical path and intra-boundary inheritance do not apply, so the flows TLS does not reach are the gap the overlay fills.)</w:t>
            </w:r>
          </w:p>
        </w:tc>
      </w:tr>
      <w:tr>
        <w:tc>
          <w:tcPr/>
          <w:p>
            <w:pPr>
              <w:pStyle w:val="Compact"/>
            </w:pPr>
            <w:r>
              <w:rPr>
                <w:b/>
                <w:bCs/>
              </w:rPr>
              <w:t xml:space="preserve">TIC 3.0</w:t>
            </w:r>
            <w:r>
              <w:t xml:space="preserve"> </w:t>
            </w:r>
            <w:r>
              <w:t xml:space="preserve">— distributed policy enforcement for the pipes</w:t>
            </w:r>
          </w:p>
        </w:tc>
        <w:tc>
          <w:tcPr/>
          <w:p>
            <w:pPr>
              <w:pStyle w:val="Compact"/>
            </w:pPr>
            <w:r>
              <w:t xml:space="preserve">SC-7, SC-7(7) (boundary protection on distributed egress); AC-4 (information flow enforcement outside the legacy TIC access point)</w:t>
            </w:r>
          </w:p>
        </w:tc>
        <w:tc>
          <w:tcPr/>
          <w:p>
            <w:pPr>
              <w:pStyle w:val="Compact"/>
            </w:pPr>
            <w:r>
              <w:t xml:space="preserve">Under TIC 3.0, DIA requires a distributed enforcement point (the SASE stack) providing protection</w:t>
            </w:r>
            <w:r>
              <w:t xml:space="preserve"> </w:t>
            </w:r>
            <w:r>
              <w:rPr>
                <w:i/>
                <w:iCs/>
              </w:rPr>
              <w:t xml:space="preserve">commensurate with the agency’s risk tolerance</w:t>
            </w:r>
            <w:r>
              <w:t xml:space="preserve"> </w:t>
            </w:r>
            <w:r>
              <w:t xml:space="preserve">— in practice the applicable security-capabilities catalog entries. An ungoverned DIA circuit is not a modernization; it is a finding.</w:t>
            </w:r>
          </w:p>
        </w:tc>
      </w:tr>
    </w:tbl>
    <w:p>
      <w:pPr>
        <w:pStyle w:val="BlockText"/>
      </w:pPr>
      <w:r>
        <w:rPr>
          <w:b/>
          <w:bCs/>
        </w:rPr>
        <w:t xml:space="preserve">Baseline caveat:</w:t>
      </w:r>
      <w:r>
        <w:t xml:space="preserve"> </w:t>
      </w:r>
      <w:r>
        <w:t xml:space="preserve">These closure claims are made against the NIST SP 800-53 Rev 5 control baseline and FedRAMP 20x CR26 rules published June 25, 2026 (optional adoption July 4, 2026; mandatory January 1, 2027). Changes to the control baseline, new FedRAMP-authorized product entries, or revised assessment guidance may alter these closure paths. Validate with OIS and the agency’s independent assessor before using these claims as the basis for authorization decisions.</w:t>
      </w:r>
    </w:p>
    <w:bookmarkStart w:id="18" w:name="X7e31d5d2ca10ab4a6226e82b3e8d46146877153"/>
    <w:p>
      <w:pPr>
        <w:pStyle w:val="Heading2"/>
      </w:pPr>
      <w:r>
        <w:t xml:space="preserve">The SC-8 Row Against Its Strongest Counter-Sources</w:t>
      </w:r>
    </w:p>
    <w:p>
      <w:pPr>
        <w:pStyle w:val="FirstParagraph"/>
      </w:pPr>
      <w:r>
        <w:t xml:space="preserve">The SC-8 row above is a</w:t>
      </w:r>
      <w:r>
        <w:t xml:space="preserve"> </w:t>
      </w:r>
      <w:r>
        <w:rPr>
          <w:b/>
          <w:bCs/>
        </w:rPr>
        <w:t xml:space="preserve">coverage-completeness</w:t>
      </w:r>
      <w:r>
        <w:t xml:space="preserve"> </w:t>
      </w:r>
      <w:r>
        <w:t xml:space="preserve">claim, not an exclusivity</w:t>
      </w:r>
      <w:r>
        <w:t xml:space="preserve"> </w:t>
      </w:r>
      <w:r>
        <w:t xml:space="preserve">claim, and it is written to survive the two objections a well-sourced</w:t>
      </w:r>
      <w:r>
        <w:t xml:space="preserve"> </w:t>
      </w:r>
      <w:r>
        <w:t xml:space="preserve">reviewer will raise.</w:t>
      </w:r>
    </w:p>
    <w:p>
      <w:pPr>
        <w:pStyle w:val="BodyText"/>
      </w:pPr>
      <w:r>
        <w:rPr>
          <w:b/>
          <w:bCs/>
        </w:rPr>
        <w:t xml:space="preserve">“FedRAMP accepts TLS.”</w:t>
      </w:r>
      <w:r>
        <w:t xml:space="preserve"> </w:t>
      </w:r>
      <w:r>
        <w:t xml:space="preserve">Correct. FedRAMP’s Rev 5 data-in-transit guidance</w:t>
      </w:r>
      <w:r>
        <w:t xml:space="preserve"> </w:t>
      </w:r>
      <w:r>
        <w:t xml:space="preserve">(</w:t>
      </w:r>
      <w:r>
        <w:t xml:space="preserve">“The Rev. 5 Approach to SC-8, and Protecting Data-in-Transit,”</w:t>
      </w:r>
      <w:r>
        <w:t xml:space="preserve"> </w:t>
      </w:r>
      <w:r>
        <w:t xml:space="preserve">fedramp.gov,</w:t>
      </w:r>
      <w:r>
        <w:t xml:space="preserve"> </w:t>
      </w:r>
      <w:r>
        <w:t xml:space="preserve">July 2023) requires FIPS 140-validated encryption and names no protocol:</w:t>
      </w:r>
      <w:r>
        <w:t xml:space="preserve"> </w:t>
      </w:r>
      <w:r>
        <w:t xml:space="preserve">FIPS-validated TLS closes SC-8 for the flow that negotiates it, Rev 5 moved</w:t>
      </w:r>
      <w:r>
        <w:t xml:space="preserve"> </w:t>
      </w:r>
      <w:r>
        <w:t xml:space="preserve">physical protection to SC-8(5) (a Controlled Access Area path satisfiable</w:t>
      </w:r>
      <w:r>
        <w:t xml:space="preserve"> </w:t>
      </w:r>
      <w:r>
        <w:t xml:space="preserve">through PE-family controls), and SC-8 / SC-8(1) are inheritable when traffic</w:t>
      </w:r>
      <w:r>
        <w:t xml:space="preserve"> </w:t>
      </w:r>
      <w:r>
        <w:t xml:space="preserve">originates and terminates inside an authorized boundary. None of those paths</w:t>
      </w:r>
      <w:r>
        <w:t xml:space="preserve"> </w:t>
      </w:r>
      <w:r>
        <w:t xml:space="preserve">reaches a field-office DIA circuit: the traffic originates outside every</w:t>
      </w:r>
      <w:r>
        <w:t xml:space="preserve"> </w:t>
      </w:r>
      <w:r>
        <w:t xml:space="preserve">authorized boundary, no Controlled Access Area encloses the public internet,</w:t>
      </w:r>
      <w:r>
        <w:t xml:space="preserve"> </w:t>
      </w:r>
      <w:r>
        <w:t xml:space="preserve">and TLS closure must then be demonstrated</w:t>
      </w:r>
      <w:r>
        <w:t xml:space="preserve"> </w:t>
      </w:r>
      <w:r>
        <w:rPr>
          <w:b/>
          <w:bCs/>
        </w:rPr>
        <w:t xml:space="preserve">flow by flow</w:t>
      </w:r>
      <w:r>
        <w:t xml:space="preserve"> </w:t>
      </w:r>
      <w:r>
        <w:t xml:space="preserve">— while DNS</w:t>
      </w:r>
      <w:r>
        <w:t xml:space="preserve"> </w:t>
      </w:r>
      <w:r>
        <w:t xml:space="preserve">lookups, legacy protocols, and misconfigured applications ride the same</w:t>
      </w:r>
      <w:r>
        <w:t xml:space="preserve"> </w:t>
      </w:r>
      <w:r>
        <w:t xml:space="preserve">circuit bare. The overlay is the mechanism that converts an unbounded set of</w:t>
      </w:r>
      <w:r>
        <w:t xml:space="preserve"> </w:t>
      </w:r>
      <w:r>
        <w:t xml:space="preserve">per-flow attestations into one circuit-level attestation.</w:t>
      </w:r>
    </w:p>
    <w:p>
      <w:pPr>
        <w:pStyle w:val="BodyText"/>
      </w:pPr>
      <w:r>
        <w:rPr>
          <w:b/>
          <w:bCs/>
        </w:rPr>
        <w:t xml:space="preserve">“Our traffic is M365, and M365 is already encrypted.”</w:t>
      </w:r>
      <w:r>
        <w:t xml:space="preserve"> </w:t>
      </w:r>
      <w:r>
        <w:t xml:space="preserve">Also correct —</w:t>
      </w:r>
      <w:r>
        <w:t xml:space="preserve"> </w:t>
      </w:r>
      <w:r>
        <w:t xml:space="preserve">Microsoft’s service endpoints negotiate TLS with FIPS-validated cryptography</w:t>
      </w:r>
      <w:r>
        <w:t xml:space="preserve"> </w:t>
      </w:r>
      <w:r>
        <w:t xml:space="preserve">available, and Microsoft’s network connectivity principles recommend that</w:t>
      </w:r>
      <w:r>
        <w:t xml:space="preserve"> </w:t>
      </w:r>
      <w:r>
        <w:t xml:space="preserve">Optimize-category traffic (Teams media above all) egress locally and bypass</w:t>
      </w:r>
      <w:r>
        <w:t xml:space="preserve"> </w:t>
      </w:r>
      <w:r>
        <w:t xml:space="preserve">tunnels and inspection, for exactly the ITU-T G.114 latency reasons this</w:t>
      </w:r>
      <w:r>
        <w:t xml:space="preserve"> </w:t>
      </w:r>
      <w:r>
        <w:t xml:space="preserve">series cites. Neither fact rebuts the row; both are instances of it. M365’s</w:t>
      </w:r>
      <w:r>
        <w:t xml:space="preserve"> </w:t>
      </w:r>
      <w:r>
        <w:t xml:space="preserve">TLS is the conceded per-flow closure, and the circuit still carries the DNS</w:t>
      </w:r>
      <w:r>
        <w:t xml:space="preserve"> </w:t>
      </w:r>
      <w:r>
        <w:t xml:space="preserve">queries that resolve those very endpoints plus every non-M365 flow. Where</w:t>
      </w:r>
      <w:r>
        <w:t xml:space="preserve"> </w:t>
      </w:r>
      <w:r>
        <w:t xml:space="preserve">the agency follows Microsoft’s bypass guidance, the SD-WAN edge is what</w:t>
      </w:r>
      <w:r>
        <w:t xml:space="preserve"> </w:t>
      </w:r>
      <w:r>
        <w:t xml:space="preserve">makes the exemption</w:t>
      </w:r>
      <w:r>
        <w:t xml:space="preserve"> </w:t>
      </w:r>
      <w:r>
        <w:rPr>
          <w:b/>
          <w:bCs/>
        </w:rPr>
        <w:t xml:space="preserve">deliberate and attestable</w:t>
      </w:r>
      <w:r>
        <w:t xml:space="preserve">: application-aware</w:t>
      </w:r>
      <w:r>
        <w:t xml:space="preserve"> </w:t>
      </w:r>
      <w:r>
        <w:t xml:space="preserve">steering records which flows ride the IPsec overlay and which rest on the</w:t>
      </w:r>
      <w:r>
        <w:t xml:space="preserve"> </w:t>
      </w:r>
      <w:r>
        <w:t xml:space="preserve">application’s own FIPS-validated TLS, turning a split-tunnel exception from</w:t>
      </w:r>
      <w:r>
        <w:t xml:space="preserve"> </w:t>
      </w:r>
      <w:r>
        <w:t xml:space="preserve">an invisible gap into per-flow evidence — the same SI-4 telemetry closure</w:t>
      </w:r>
      <w:r>
        <w:t xml:space="preserve"> </w:t>
      </w:r>
      <w:r>
        <w:t xml:space="preserve">the row already claims.</w:t>
      </w:r>
    </w:p>
    <w:p>
      <w:pPr>
        <w:pStyle w:val="BodyText"/>
      </w:pPr>
      <w:r>
        <w:t xml:space="preserve">Mechanism-class honesty cuts both ways: plain site-to-site IPsec, ZTNA</w:t>
      </w:r>
      <w:r>
        <w:t xml:space="preserve"> </w:t>
      </w:r>
      <w:r>
        <w:t xml:space="preserve">tunnels, and other network-layer overlays also encrypt every flow on the</w:t>
      </w:r>
      <w:r>
        <w:t xml:space="preserve"> </w:t>
      </w:r>
      <w:r>
        <w:t xml:space="preserve">circuit without being SD-WAN. The necessity claim is the bundle — among</w:t>
      </w:r>
      <w:r>
        <w:t xml:space="preserve"> </w:t>
      </w:r>
      <w:r>
        <w:t xml:space="preserve">overlay classes, SD-WAN is the one that co-delivers the SC-5 traffic-class</w:t>
      </w:r>
      <w:r>
        <w:t xml:space="preserve"> </w:t>
      </w:r>
      <w:r>
        <w:t xml:space="preserve">separation and SI-4 application-layer telemetry closures alongside SC-8.</w:t>
      </w:r>
    </w:p>
    <w:bookmarkEnd w:id="18"/>
    <w:bookmarkEnd w:id="19"/>
    <w:bookmarkStart w:id="20" w:name="the-closure-provenance-doctrine"/>
    <w:p>
      <w:pPr>
        <w:pStyle w:val="Heading1"/>
      </w:pPr>
      <w:r>
        <w:t xml:space="preserve">The Closure Provenance Doctrine</w:t>
      </w:r>
    </w:p>
    <w:p>
      <w:pPr>
        <w:pStyle w:val="FirstParagraph"/>
      </w:pPr>
      <w:r>
        <w:t xml:space="preserve">Closure Necessity answers</w:t>
      </w:r>
      <w:r>
        <w:t xml:space="preserve"> </w:t>
      </w:r>
      <w:r>
        <w:rPr>
          <w:i/>
          <w:iCs/>
        </w:rPr>
        <w:t xml:space="preserve">which mechanisms can close a control</w:t>
      </w:r>
      <w:r>
        <w:t xml:space="preserve">. Its twin</w:t>
      </w:r>
      <w:r>
        <w:t xml:space="preserve"> </w:t>
      </w:r>
      <w:r>
        <w:t xml:space="preserve">answers</w:t>
      </w:r>
      <w:r>
        <w:t xml:space="preserve"> </w:t>
      </w:r>
      <w:r>
        <w:rPr>
          <w:i/>
          <w:iCs/>
        </w:rPr>
        <w:t xml:space="preserve">what counts as closed</w:t>
      </w:r>
      <w:r>
        <w:t xml:space="preserve">:</w:t>
      </w:r>
      <w:r>
        <w:t xml:space="preserve"> </w:t>
      </w:r>
      <w:r>
        <w:rPr>
          <w:b/>
          <w:bCs/>
        </w:rPr>
        <w:t xml:space="preserve">no closure counts unless it carries its</w:t>
      </w:r>
      <w:r>
        <w:rPr>
          <w:b/>
          <w:bCs/>
        </w:rPr>
        <w:t xml:space="preserve"> </w:t>
      </w:r>
      <w:r>
        <w:rPr>
          <w:b/>
          <w:bCs/>
        </w:rPr>
        <w:t xml:space="preserve">proof.</w:t>
      </w:r>
      <w:r>
        <w:t xml:space="preserve"> </w:t>
      </w:r>
      <w:r>
        <w:t xml:space="preserve">A remediation task, a daily operational check, a POA&amp;M milestone, or</w:t>
      </w:r>
      <w:r>
        <w:t xml:space="preserve"> </w:t>
      </w:r>
      <w:r>
        <w:t xml:space="preserve">a control test closed by a human clicking</w:t>
      </w:r>
      <w:r>
        <w:t xml:space="preserve"> </w:t>
      </w:r>
      <w:r>
        <w:t xml:space="preserve">“complete”</w:t>
      </w:r>
      <w:r>
        <w:t xml:space="preserve"> </w:t>
      </w:r>
      <w:r>
        <w:t xml:space="preserve">— with no</w:t>
      </w:r>
      <w:r>
        <w:t xml:space="preserve"> </w:t>
      </w:r>
      <w:r>
        <w:t xml:space="preserve">machine-readable verification attached to the closing record — is prose, not</w:t>
      </w:r>
      <w:r>
        <w:t xml:space="preserve"> </w:t>
      </w:r>
      <w:r>
        <w:t xml:space="preserve">evidence. It asserts that work happened; it proves nothing an assessor or a</w:t>
      </w:r>
      <w:r>
        <w:t xml:space="preserve"> </w:t>
      </w:r>
      <w:r>
        <w:t xml:space="preserve">KSI scorer can consume.</w:t>
      </w:r>
    </w:p>
    <w:p>
      <w:pPr>
        <w:pStyle w:val="BodyText"/>
      </w:pPr>
      <w:r>
        <w:t xml:space="preserve">This series already applies the rule to itself. Every</w:t>
      </w:r>
      <w:r>
        <w:t xml:space="preserve"> </w:t>
      </w:r>
      <w:r>
        <w:t xml:space="preserve">“Authorities Closed</w:t>
      </w:r>
      <w:r>
        <w:t xml:space="preserve"> </w:t>
      </w:r>
      <w:r>
        <w:t xml:space="preserve">Here”</w:t>
      </w:r>
      <w:r>
        <w:t xml:space="preserve"> </w:t>
      </w:r>
      <w:r>
        <w:t xml:space="preserve">table, the spine crosswalk, and the claim→evidence→test matrix are</w:t>
      </w:r>
      <w:r>
        <w:t xml:space="preserve"> </w:t>
      </w:r>
      <w:r>
        <w:rPr>
          <w:b/>
          <w:bCs/>
        </w:rPr>
        <w:t xml:space="preserve">generated and drift-gated</w:t>
      </w:r>
      <w:r>
        <w:t xml:space="preserve">, because hand-maintained numbers silently</w:t>
      </w:r>
      <w:r>
        <w:t xml:space="preserve"> </w:t>
      </w:r>
      <w:r>
        <w:t xml:space="preserve">falsify. A manually closed task is the operational hand-maintained number:</w:t>
      </w:r>
      <w:r>
        <w:t xml:space="preserve"> </w:t>
      </w:r>
      <w:r>
        <w:t xml:space="preserve">the dashboards, SLA reports, control tests, and KSI feeds built on a</w:t>
      </w:r>
      <w:r>
        <w:t xml:space="preserve"> </w:t>
      </w:r>
      <w:r>
        <w:t xml:space="preserve">manual-closure stream inherit its central defect — every row is an</w:t>
      </w:r>
      <w:r>
        <w:t xml:space="preserve"> </w:t>
      </w:r>
      <w:r>
        <w:t xml:space="preserve">unverified claim, so the reporting layer is a compilation of assertions.</w:t>
      </w:r>
      <w:r>
        <w:t xml:space="preserve"> </w:t>
      </w:r>
      <w:r>
        <w:t xml:space="preserve">That is why manual closure fails to create reporting. Reporting is not</w:t>
      </w:r>
      <w:r>
        <w:t xml:space="preserve"> </w:t>
      </w:r>
      <w:r>
        <w:t xml:space="preserve">something added after closure; it is something a well-formed closure</w:t>
      </w:r>
      <w:r>
        <w:t xml:space="preserve"> </w:t>
      </w:r>
      <w:r>
        <w:rPr>
          <w:b/>
          <w:bCs/>
        </w:rPr>
        <w:t xml:space="preserve">emits</w:t>
      </w:r>
      <w:r>
        <w:t xml:space="preserve">.</w:t>
      </w:r>
    </w:p>
    <w:p>
      <w:pPr>
        <w:pStyle w:val="BodyText"/>
      </w:pPr>
      <w:r>
        <w:t xml:space="preserve">The doctrine in three requirements:</w:t>
      </w:r>
    </w:p>
    <w:p>
      <w:pPr>
        <w:pStyle w:val="Compact"/>
        <w:numPr>
          <w:ilvl w:val="0"/>
          <w:numId w:val="1009"/>
        </w:numPr>
      </w:pPr>
      <w:r>
        <w:rPr>
          <w:b/>
          <w:bCs/>
        </w:rPr>
        <w:t xml:space="preserve">Every closure carries provenance.</w:t>
      </w:r>
      <w:r>
        <w:t xml:space="preserve"> </w:t>
      </w:r>
      <w:r>
        <w:t xml:space="preserve">The closing update on a task</w:t>
      </w:r>
      <w:r>
        <w:t xml:space="preserve"> </w:t>
      </w:r>
      <w:r>
        <w:t xml:space="preserve">carries the verification payload that justified it — the probe result,</w:t>
      </w:r>
      <w:r>
        <w:t xml:space="preserve"> </w:t>
      </w:r>
      <w:r>
        <w:t xml:space="preserve">the posture query, the re-test output — with a timestamp and the identity</w:t>
      </w:r>
      <w:r>
        <w:t xml:space="preserve"> </w:t>
      </w:r>
      <w:r>
        <w:t xml:space="preserve">of the checking mechanism. The close</w:t>
      </w:r>
      <w:r>
        <w:t xml:space="preserve"> </w:t>
      </w:r>
      <w:r>
        <w:rPr>
          <w:i/>
          <w:iCs/>
        </w:rPr>
        <w:t xml:space="preserve">is</w:t>
      </w:r>
      <w:r>
        <w:t xml:space="preserve"> </w:t>
      </w:r>
      <w:r>
        <w:t xml:space="preserve">the contract: a closure record</w:t>
      </w:r>
      <w:r>
        <w:t xml:space="preserve"> </w:t>
      </w:r>
      <w:r>
        <w:t xml:space="preserve">without a verification payload does not validate.</w:t>
      </w:r>
    </w:p>
    <w:p>
      <w:pPr>
        <w:pStyle w:val="Compact"/>
        <w:numPr>
          <w:ilvl w:val="0"/>
          <w:numId w:val="1009"/>
        </w:numPr>
      </w:pPr>
      <w:r>
        <w:rPr>
          <w:b/>
          <w:bCs/>
        </w:rPr>
        <w:t xml:space="preserve">Human-only closure is an exception state, not a path.</w:t>
      </w:r>
      <w:r>
        <w:t xml:space="preserve"> </w:t>
      </w:r>
      <w:r>
        <w:t xml:space="preserve">It remains</w:t>
      </w:r>
      <w:r>
        <w:t xml:space="preserve"> </w:t>
      </w:r>
      <w:r>
        <w:t xml:space="preserve">possible — operations need an escape hatch — but it is visibly flagged,</w:t>
      </w:r>
      <w:r>
        <w:t xml:space="preserve"> </w:t>
      </w:r>
      <w:r>
        <w:t xml:space="preserve">counted separately, and never silently aggregated into control tests, KSI</w:t>
      </w:r>
      <w:r>
        <w:t xml:space="preserve"> </w:t>
      </w:r>
      <w:r>
        <w:t xml:space="preserve">evidence, or SLA attainment. An attestation pipeline that cannot</w:t>
      </w:r>
      <w:r>
        <w:t xml:space="preserve"> </w:t>
      </w:r>
      <w:r>
        <w:t xml:space="preserve">distinguish probe-backed closures from attested-only ones attests</w:t>
      </w:r>
      <w:r>
        <w:t xml:space="preserve"> </w:t>
      </w:r>
      <w:r>
        <w:t xml:space="preserve">fiction.</w:t>
      </w:r>
    </w:p>
    <w:p>
      <w:pPr>
        <w:pStyle w:val="Compact"/>
        <w:numPr>
          <w:ilvl w:val="0"/>
          <w:numId w:val="1009"/>
        </w:numPr>
      </w:pPr>
      <w:r>
        <w:rPr>
          <w:b/>
          <w:bCs/>
        </w:rPr>
        <w:t xml:space="preserve">Reports are derivations, never compilations.</w:t>
      </w:r>
      <w:r>
        <w:t xml:space="preserve"> </w:t>
      </w:r>
      <w:r>
        <w:t xml:space="preserve">Every report in the</w:t>
      </w:r>
      <w:r>
        <w:t xml:space="preserve"> </w:t>
      </w:r>
      <w:r>
        <w:t xml:space="preserve">coordination plane — ConMon roll-ups, POA&amp;M aging, patch SLA attainment,</w:t>
      </w:r>
      <w:r>
        <w:t xml:space="preserve"> </w:t>
      </w:r>
      <w:r>
        <w:t xml:space="preserve">the KSI feed — is derived from the closure stream by a generator that can</w:t>
      </w:r>
      <w:r>
        <w:t xml:space="preserve"> </w:t>
      </w:r>
      <w:r>
        <w:t xml:space="preserve">be re-run and diffed, exactly as this series’ own tables are. A report</w:t>
      </w:r>
      <w:r>
        <w:t xml:space="preserve"> </w:t>
      </w:r>
      <w:r>
        <w:t xml:space="preserve">that cannot be regenerated from closure records is an artifact of effort,</w:t>
      </w:r>
      <w:r>
        <w:t xml:space="preserve"> </w:t>
      </w:r>
      <w:r>
        <w:t xml:space="preserve">not of state.</w:t>
      </w:r>
    </w:p>
    <w:p>
      <w:pPr>
        <w:pStyle w:val="FirstParagraph"/>
      </w:pPr>
      <w:r>
        <w:t xml:space="preserve">Closure provenance is also the one place a capped deployment gets full</w:t>
      </w:r>
      <w:r>
        <w:t xml:space="preserve"> </w:t>
      </w:r>
      <w:r>
        <w:t xml:space="preserve">automation. Verifying a closure is a</w:t>
      </w:r>
      <w:r>
        <w:t xml:space="preserve"> </w:t>
      </w:r>
      <w:r>
        <w:rPr>
          <w:b/>
          <w:bCs/>
        </w:rPr>
        <w:t xml:space="preserve">read</w:t>
      </w:r>
      <w:r>
        <w:t xml:space="preserve"> </w:t>
      </w:r>
      <w:r>
        <w:t xml:space="preserve">— probe the estate, attach the</w:t>
      </w:r>
      <w:r>
        <w:t xml:space="preserve"> </w:t>
      </w:r>
      <w:r>
        <w:t xml:space="preserve">result, gate the close. Under the day-2 actuation ceiling (</w:t>
      </w:r>
      <w:r>
        <w:t xml:space="preserve">“no undeclared</w:t>
      </w:r>
      <w:r>
        <w:t xml:space="preserve"> </w:t>
      </w:r>
      <w:r>
        <w:t xml:space="preserve">autonomous estate writes”</w:t>
      </w:r>
      <w:r>
        <w:t xml:space="preserve">), closure verification and auto-closure of the</w:t>
      </w:r>
      <w:r>
        <w:t xml:space="preserve"> </w:t>
      </w:r>
      <w:r>
        <w:t xml:space="preserve">coordination record are lawful at full automation even where the estate-side</w:t>
      </w:r>
      <w:r>
        <w:t xml:space="preserve"> </w:t>
      </w:r>
      <w:r>
        <w:t xml:space="preserve">write requires a human approver: the write already happened under its own</w:t>
      </w:r>
      <w:r>
        <w:t xml:space="preserve"> </w:t>
      </w:r>
      <w:r>
        <w:t xml:space="preserve">authority, and recording</w:t>
      </w:r>
      <w:r>
        <w:t xml:space="preserve"> </w:t>
      </w:r>
      <w:r>
        <w:rPr>
          <w:i/>
          <w:iCs/>
        </w:rPr>
        <w:t xml:space="preserve">proof</w:t>
      </w:r>
      <w:r>
        <w:t xml:space="preserve"> </w:t>
      </w:r>
      <w:r>
        <w:t xml:space="preserve">that it happened requires none.</w:t>
      </w:r>
    </w:p>
    <w:p>
      <w:pPr>
        <w:pStyle w:val="BodyText"/>
      </w:pPr>
      <w:r>
        <w:t xml:space="preserve">The series measures itself against this doctrine. The claim→evidence→test</w:t>
      </w:r>
      <w:r>
        <w:t xml:space="preserve"> </w:t>
      </w:r>
      <w:r>
        <w:t xml:space="preserve">matrix binds a falsifying test to each closure claim, and today only</w:t>
      </w:r>
      <w:r>
        <w:t xml:space="preserve"> </w:t>
      </w:r>
      <w:r>
        <w:rPr>
          <w:b/>
          <w:bCs/>
        </w:rPr>
        <w:t xml:space="preserve">13 of 106</w:t>
      </w:r>
      <w:r>
        <w:t xml:space="preserve"> </w:t>
      </w:r>
      <w:r>
        <w:t xml:space="preserve">claims yet carry a named test. That ratio is the series’ own</w:t>
      </w:r>
      <w:r>
        <w:t xml:space="preserve"> </w:t>
      </w:r>
      <w:r>
        <w:t xml:space="preserve">closure-provenance indicator — generated, gated, and expected to rise; Vol</w:t>
      </w:r>
      <w:r>
        <w:t xml:space="preserve"> </w:t>
      </w:r>
      <w:r>
        <w:t xml:space="preserve">VI Book 08 (validation harnesses) and Vol VII Book 04 (control attestation)</w:t>
      </w:r>
      <w:r>
        <w:t xml:space="preserve"> </w:t>
      </w:r>
      <w:r>
        <w:t xml:space="preserve">are the books that raise it, and the day-2 scoped app enforces the closure</w:t>
      </w:r>
      <w:r>
        <w:t xml:space="preserve"> </w:t>
      </w:r>
      <w:r>
        <w:t xml:space="preserve">rules at the task layer (Vol VII Books 04–05).</w:t>
      </w:r>
    </w:p>
    <w:bookmarkEnd w:id="20"/>
    <w:bookmarkStart w:id="21" w:name="vendor-currency"/>
    <w:p>
      <w:pPr>
        <w:pStyle w:val="Heading1"/>
      </w:pPr>
      <w:r>
        <w:t xml:space="preserve">The Vendor Currency Doctrine — A Roadmap Is Not a Commitment</w:t>
      </w:r>
    </w:p>
    <w:p>
      <w:pPr>
        <w:pStyle w:val="FirstParagraph"/>
      </w:pPr>
      <w:r>
        <w:t xml:space="preserve">This series names specific vendor products and capabilities on purpose — Closure Necessity requires naming a real mechanism, not a category, so a book says</w:t>
      </w:r>
      <w:r>
        <w:t xml:space="preserve"> </w:t>
      </w:r>
      <w:r>
        <w:t xml:space="preserve">“AWS Config remediation actions”</w:t>
      </w:r>
      <w:r>
        <w:t xml:space="preserve"> </w:t>
      </w:r>
      <w:r>
        <w:t xml:space="preserve">rather than</w:t>
      </w:r>
      <w:r>
        <w:t xml:space="preserve"> </w:t>
      </w:r>
      <w:r>
        <w:t xml:space="preserve">“some CSPM tool.”</w:t>
      </w:r>
      <w:r>
        <w:t xml:space="preserve"> </w:t>
      </w:r>
      <w:r>
        <w:t xml:space="preserve">That specificity has a cost: the market this series describes moves in weeks, not review cycles. Two concrete instances from this series’ own drafting, both discovered the same week: a ServiceNow-native FedRAMP 20x KSI product (C1Secure SmartRAMP 20x) did not exist when Vol VII Book 05 was first scoped and shipped roughly two weeks later; native ServiceNow↔VMware connectors Vol VII Book 07 initially treated as unbuilt turned out to already exist as vendor-published integrations. Neither claim was wrong when written — both were current, sourced, and dated. Both were also stale within a month.</w:t>
      </w:r>
    </w:p>
    <w:p>
      <w:pPr>
        <w:pStyle w:val="BodyText"/>
      </w:pPr>
      <w:r>
        <w:t xml:space="preserve">The doctrine, stated once here for every book and whitepaper in the series to cite rather than restate:</w:t>
      </w:r>
    </w:p>
    <w:p>
      <w:pPr>
        <w:pStyle w:val="Compact"/>
        <w:numPr>
          <w:ilvl w:val="0"/>
          <w:numId w:val="1010"/>
        </w:numPr>
      </w:pPr>
      <w:r>
        <w:rPr>
          <w:b/>
          <w:bCs/>
        </w:rPr>
        <w:t xml:space="preserve">Every vendor capability claim in this series is dated, not permanent.</w:t>
      </w:r>
      <w:r>
        <w:t xml:space="preserve"> </w:t>
      </w:r>
      <w:r>
        <w:t xml:space="preserve">A document’s Date Code marks when its vendor claims were last verified — never an assertion that they remain current.</w:t>
      </w:r>
    </w:p>
    <w:p>
      <w:pPr>
        <w:pStyle w:val="Compact"/>
        <w:numPr>
          <w:ilvl w:val="0"/>
          <w:numId w:val="1010"/>
        </w:numPr>
      </w:pPr>
      <w:r>
        <w:rPr>
          <w:b/>
          <w:bCs/>
        </w:rPr>
        <w:t xml:space="preserve">Before any claim in this series becomes the basis of a Project Plan, procurement action, or acquisition decision, the current roadmap must be confirmed directly with the vendor</w:t>
      </w:r>
      <w:r>
        <w:t xml:space="preserve"> </w:t>
      </w:r>
      <w:r>
        <w:t xml:space="preserve">— ServiceNow, SailPoint, VMware/Broadcom, and each named CSP (Microsoft, AWS, GCP, OCI) — not assumed from this series’ snapshot.</w:t>
      </w:r>
    </w:p>
    <w:p>
      <w:pPr>
        <w:pStyle w:val="Compact"/>
        <w:numPr>
          <w:ilvl w:val="0"/>
          <w:numId w:val="1010"/>
        </w:numPr>
      </w:pPr>
      <w:r>
        <w:rPr>
          <w:b/>
          <w:bCs/>
        </w:rPr>
        <w:t xml:space="preserve">A closed gap can reopen and an open gap can close between two drafting sessions in the same series.</w:t>
      </w:r>
      <w:r>
        <w:t xml:space="preserve"> </w:t>
      </w:r>
      <w:r>
        <w:t xml:space="preserve">Treat every</w:t>
      </w:r>
      <w:r>
        <w:t xml:space="preserve"> </w:t>
      </w:r>
      <w:r>
        <w:t xml:space="preserve">“not yet built”</w:t>
      </w:r>
      <w:r>
        <w:t xml:space="preserve"> </w:t>
      </w:r>
      <w:r>
        <w:t xml:space="preserve">and every</w:t>
      </w:r>
      <w:r>
        <w:t xml:space="preserve"> </w:t>
      </w:r>
      <w:r>
        <w:t xml:space="preserve">“ships natively”</w:t>
      </w:r>
      <w:r>
        <w:t xml:space="preserve"> </w:t>
      </w:r>
      <w:r>
        <w:t xml:space="preserve">claim as equally perishable; neither is more durable than the vendor’s own next release note.</w:t>
      </w:r>
    </w:p>
    <w:p>
      <w:pPr>
        <w:pStyle w:val="BlockText"/>
      </w:pPr>
      <w:r>
        <w:rPr>
          <w:b/>
          <w:bCs/>
        </w:rPr>
        <w:t xml:space="preserve">Vendor currency caveat:</w:t>
      </w:r>
      <w:r>
        <w:t xml:space="preserve"> </w:t>
      </w:r>
      <w:r>
        <w:t xml:space="preserve">Vendor product names, capabilities, integration claims, and FedRAMP authorization status throughout this series reflect the date each book or whitepaper was last updated (its Date Code) and move quickly.</w:t>
      </w:r>
      <w:r>
        <w:t xml:space="preserve"> </w:t>
      </w:r>
      <w:r>
        <w:rPr>
          <w:b/>
          <w:bCs/>
        </w:rPr>
        <w:t xml:space="preserve">Confirming current vendor roadmaps directly with ServiceNow, SailPoint, VMware/Broadcom, and each CSP is essential before any implementation Project Plan is built on a specific claim in this series.</w:t>
      </w:r>
      <w:r>
        <w:t xml:space="preserve"> </w:t>
      </w:r>
      <w:r>
        <w:t xml:space="preserve">Validate with OIS and the agency’s independent assessor, as with every other closure claim in this series.</w:t>
      </w:r>
    </w:p>
    <w:bookmarkEnd w:id="21"/>
    <w:bookmarkStart w:id="25" w:name="macdr-lifecycle"/>
    <w:p>
      <w:pPr>
        <w:pStyle w:val="Heading1"/>
      </w:pPr>
      <w:r>
        <w:t xml:space="preserve">The MACD-R Lifecycle Doctrine — Every Operation Travels the Authorized Path</w:t>
      </w:r>
    </w:p>
    <w:p>
      <w:pPr>
        <w:pStyle w:val="FirstParagraph"/>
      </w:pPr>
      <w:r>
        <w:t xml:space="preserve">Closure Provenance governs the end of an operation’s life; the full law</w:t>
      </w:r>
      <w:r>
        <w:t xml:space="preserve"> </w:t>
      </w:r>
      <w:r>
        <w:t xml:space="preserve">covers the whole path. Every operational change in the estate — every</w:t>
      </w:r>
      <w:r>
        <w:t xml:space="preserve"> </w:t>
      </w:r>
      <w:r>
        <w:rPr>
          <w:b/>
          <w:bCs/>
        </w:rPr>
        <w:t xml:space="preserve">Move, Add, Change, Deletion, and Reset (MACD-R)</w:t>
      </w:r>
      <w:r>
        <w:t xml:space="preserve"> </w:t>
      </w:r>
      <w:r>
        <w:t xml:space="preserve">— travels five clauses,</w:t>
      </w:r>
      <w:r>
        <w:t xml:space="preserve"> </w:t>
      </w:r>
      <w:r>
        <w:t xml:space="preserve">and an operation that skips one is unauthorized by construction:</w:t>
      </w:r>
    </w:p>
    <w:p>
      <w:pPr>
        <w:pStyle w:val="Compact"/>
        <w:numPr>
          <w:ilvl w:val="0"/>
          <w:numId w:val="1011"/>
        </w:numPr>
      </w:pPr>
      <w:r>
        <w:rPr>
          <w:b/>
          <w:bCs/>
        </w:rPr>
        <w:t xml:space="preserve">It originates with the SSOT.</w:t>
      </w:r>
      <w:r>
        <w:t xml:space="preserve"> </w:t>
      </w:r>
      <w:r>
        <w:t xml:space="preserve">Work is created by divergence between</w:t>
      </w:r>
      <w:r>
        <w:t xml:space="preserve"> </w:t>
      </w:r>
      <w:r>
        <w:t xml:space="preserve">the source of truth and the estate — a joiner in the HR system of</w:t>
      </w:r>
      <w:r>
        <w:t xml:space="preserve"> </w:t>
      </w:r>
      <w:r>
        <w:t xml:space="preserve">record, a control gap against the compliance spine, a migration wave in</w:t>
      </w:r>
      <w:r>
        <w:t xml:space="preserve"> </w:t>
      </w:r>
      <w:r>
        <w:t xml:space="preserve">the modernization plan. A task with no SSOT origin is an ad-hoc</w:t>
      </w:r>
      <w:r>
        <w:t xml:space="preserve"> </w:t>
      </w:r>
      <w:r>
        <w:t xml:space="preserve">assertion: nothing authoritative asked for it, so nothing authoritative</w:t>
      </w:r>
      <w:r>
        <w:t xml:space="preserve"> </w:t>
      </w:r>
      <w:r>
        <w:t xml:space="preserve">can attest it.</w:t>
      </w:r>
    </w:p>
    <w:p>
      <w:pPr>
        <w:pStyle w:val="Compact"/>
        <w:numPr>
          <w:ilvl w:val="0"/>
          <w:numId w:val="1011"/>
        </w:numPr>
      </w:pPr>
      <w:r>
        <w:rPr>
          <w:b/>
          <w:bCs/>
        </w:rPr>
        <w:t xml:space="preserve">It carries an authoritative authorization in the path.</w:t>
      </w:r>
      <w:r>
        <w:t xml:space="preserve"> </w:t>
      </w:r>
      <w:r>
        <w:t xml:space="preserve">The approval</w:t>
      </w:r>
      <w:r>
        <w:t xml:space="preserve"> </w:t>
      </w:r>
      <w:r>
        <w:t xml:space="preserve">resolves from the authority model, not from whoever is nearby: the owner</w:t>
      </w:r>
      <w:r>
        <w:t xml:space="preserve"> </w:t>
      </w:r>
      <w:r>
        <w:t xml:space="preserve">and approver derive from the same SSOT that originated the work (the</w:t>
      </w:r>
      <w:r>
        <w:t xml:space="preserve"> </w:t>
      </w:r>
      <w:r>
        <w:t xml:space="preserve">manager/owner routing the identity substrate rebuilds), and the</w:t>
      </w:r>
      <w:r>
        <w:t xml:space="preserve"> </w:t>
      </w:r>
      <w:r>
        <w:t xml:space="preserve">pre-authorized lanes (A0/A1) are standing authorizations — recorded</w:t>
      </w:r>
      <w:r>
        <w:t xml:space="preserve"> </w:t>
      </w:r>
      <w:r>
        <w:t xml:space="preserve">grants with scope and expiry, never the absence of approval.</w:t>
      </w:r>
    </w:p>
    <w:p>
      <w:pPr>
        <w:pStyle w:val="Compact"/>
        <w:numPr>
          <w:ilvl w:val="0"/>
          <w:numId w:val="1011"/>
        </w:numPr>
      </w:pPr>
      <w:r>
        <w:rPr>
          <w:b/>
          <w:bCs/>
        </w:rPr>
        <w:t xml:space="preserve">It executes under least privilege, elevated just-in-time.</w:t>
      </w:r>
      <w:r>
        <w:t xml:space="preserve"> </w:t>
      </w:r>
      <w:r>
        <w:t xml:space="preserve">The</w:t>
      </w:r>
      <w:r>
        <w:t xml:space="preserve"> </w:t>
      </w:r>
      <w:r>
        <w:t xml:space="preserve">executing actor — human or automation — activates a time-boxed, scoped</w:t>
      </w:r>
      <w:r>
        <w:t xml:space="preserve"> </w:t>
      </w:r>
      <w:r>
        <w:t xml:space="preserve">role at execution (PIM) and holds no standing privilege. The activation</w:t>
      </w:r>
      <w:r>
        <w:t xml:space="preserve"> </w:t>
      </w:r>
      <w:r>
        <w:t xml:space="preserve">record is part of the operation’s evidence, binding</w:t>
      </w:r>
      <w:r>
        <w:t xml:space="preserve"> </w:t>
      </w:r>
      <w:r>
        <w:rPr>
          <w:i/>
          <w:iCs/>
        </w:rPr>
        <w:t xml:space="preserve">who could act</w:t>
      </w:r>
      <w:r>
        <w:t xml:space="preserve"> </w:t>
      </w:r>
      <w:r>
        <w:t xml:space="preserve">to</w:t>
      </w:r>
      <w:r>
        <w:t xml:space="preserve"> </w:t>
      </w:r>
      <w:r>
        <w:rPr>
          <w:i/>
          <w:iCs/>
        </w:rPr>
        <w:t xml:space="preserve">what was done</w:t>
      </w:r>
      <w:r>
        <w:t xml:space="preserve"> </w:t>
      </w:r>
      <w:r>
        <w:t xml:space="preserve">(AC-6, and the PAM discipline of Vol III Book 01).</w:t>
      </w:r>
    </w:p>
    <w:p>
      <w:pPr>
        <w:pStyle w:val="Compact"/>
        <w:numPr>
          <w:ilvl w:val="0"/>
          <w:numId w:val="1011"/>
        </w:numPr>
      </w:pPr>
      <w:r>
        <w:rPr>
          <w:b/>
          <w:bCs/>
        </w:rPr>
        <w:t xml:space="preserve">It closes with provenance.</w:t>
      </w:r>
      <w:r>
        <w:t xml:space="preserve"> </w:t>
      </w:r>
      <w:r>
        <w:t xml:space="preserve">The Closure Provenance Doctrine above: no</w:t>
      </w:r>
      <w:r>
        <w:t xml:space="preserve"> </w:t>
      </w:r>
      <w:r>
        <w:t xml:space="preserve">closure counts unless it carries its proof.</w:t>
      </w:r>
    </w:p>
    <w:p>
      <w:pPr>
        <w:pStyle w:val="Compact"/>
        <w:numPr>
          <w:ilvl w:val="0"/>
          <w:numId w:val="1011"/>
        </w:numPr>
      </w:pPr>
      <w:r>
        <w:rPr>
          <w:b/>
          <w:bCs/>
        </w:rPr>
        <w:t xml:space="preserve">It emits verified, secured evidence — automatically.</w:t>
      </w:r>
      <w:r>
        <w:t xml:space="preserve"> </w:t>
      </w:r>
      <w:r>
        <w:t xml:space="preserve">The closure</w:t>
      </w:r>
      <w:r>
        <w:t xml:space="preserve"> </w:t>
      </w:r>
      <w:r>
        <w:t xml:space="preserve">record, integrity-protected and carrying its SSOT lineage (originating</w:t>
      </w:r>
      <w:r>
        <w:t xml:space="preserve"> </w:t>
      </w:r>
      <w:r>
        <w:t xml:space="preserve">record, authorization, PIM activation, verification payload), flows into</w:t>
      </w:r>
      <w:r>
        <w:t xml:space="preserve"> </w:t>
      </w:r>
      <w:r>
        <w:t xml:space="preserve">the continuous-monitoring stream with no human assembly. Evidence a</w:t>
      </w:r>
      <w:r>
        <w:t xml:space="preserve"> </w:t>
      </w:r>
      <w:r>
        <w:t xml:space="preserve">person compiles arrives late and unverifiable; evidence the lifecycle</w:t>
      </w:r>
      <w:r>
        <w:t xml:space="preserve"> </w:t>
      </w:r>
      <w:r>
        <w:t xml:space="preserve">emits arrives continuously and carries its own chain of custody (CA-7).</w:t>
      </w:r>
    </w:p>
    <w:p>
      <w:pPr>
        <w:pStyle w:val="FirstParagraph"/>
      </w:pPr>
      <w:r>
        <w:t xml:space="preserve">The five clauses are one chain —</w:t>
      </w:r>
      <w:r>
        <w:t xml:space="preserve"> </w:t>
      </w:r>
      <w:r>
        <w:rPr>
          <w:b/>
          <w:bCs/>
        </w:rPr>
        <w:t xml:space="preserve">SSOT-originated → authoritatively</w:t>
      </w:r>
      <w:r>
        <w:rPr>
          <w:b/>
          <w:bCs/>
        </w:rPr>
        <w:t xml:space="preserve"> </w:t>
      </w:r>
      <w:r>
        <w:rPr>
          <w:b/>
          <w:bCs/>
        </w:rPr>
        <w:t xml:space="preserve">authorized → least-privilege executed → provenance-closed →</w:t>
      </w:r>
      <w:r>
        <w:rPr>
          <w:b/>
          <w:bCs/>
        </w:rPr>
        <w:t xml:space="preserve"> </w:t>
      </w:r>
      <w:r>
        <w:rPr>
          <w:b/>
          <w:bCs/>
        </w:rPr>
        <w:t xml:space="preserve">evidence-emitted back to the SSOT’s reporting plane</w:t>
      </w:r>
      <w:r>
        <w:t xml:space="preserve"> </w:t>
      </w:r>
      <w:r>
        <w:t xml:space="preserve">— and the chain is</w:t>
      </w:r>
      <w:r>
        <w:t xml:space="preserve"> </w:t>
      </w:r>
      <w:r>
        <w:t xml:space="preserve">the substrate’s common law, not this series’ alone: Compliance (this series)</w:t>
      </w:r>
      <w:r>
        <w:t xml:space="preserve"> </w:t>
      </w:r>
      <w:r>
        <w:t xml:space="preserve">applies it to control remediation and attestation, Modernization to</w:t>
      </w:r>
      <w:r>
        <w:t xml:space="preserve"> </w:t>
      </w:r>
      <w:r>
        <w:t xml:space="preserve">migration and modernization moves. Two pillars, one lifecycle, one evidence</w:t>
      </w:r>
      <w:r>
        <w:t xml:space="preserve"> </w:t>
      </w:r>
      <w:r>
        <w:t xml:space="preserve">contract.</w:t>
      </w:r>
    </w:p>
    <w:bookmarkStart w:id="22" w:name="ssot-registry"/>
    <w:p>
      <w:pPr>
        <w:pStyle w:val="Heading2"/>
      </w:pPr>
      <w:r>
        <w:t xml:space="preserve">The SSOT Registry — Where Every MACD-R Originates</w:t>
      </w:r>
    </w:p>
    <w:p>
      <w:pPr>
        <w:pStyle w:val="FirstParagraph"/>
      </w:pPr>
      <w:r>
        <w:t xml:space="preserve">Clause 1 demands a source of truth per object class — including the</w:t>
      </w:r>
      <w:r>
        <w:t xml:space="preserve"> </w:t>
      </w:r>
      <w:r>
        <w:rPr>
          <w:b/>
          <w:bCs/>
        </w:rPr>
        <w:t xml:space="preserve">non-human</w:t>
      </w:r>
      <w:r>
        <w:t xml:space="preserve"> </w:t>
      </w:r>
      <w:r>
        <w:t xml:space="preserve">classes, where most estates have never designated one.</w:t>
      </w:r>
      <w:r>
        <w:t xml:space="preserve"> </w:t>
      </w:r>
      <w:r>
        <w:t xml:space="preserve">Exactly one SSOT is designated per class; everything downstream —</w:t>
      </w:r>
      <w:r>
        <w:t xml:space="preserve"> </w:t>
      </w:r>
      <w:r>
        <w:t xml:space="preserve">directory objects, CMDB records, management-console state — is a</w:t>
      </w:r>
      <w:r>
        <w:t xml:space="preserve"> </w:t>
      </w:r>
      <w:r>
        <w:rPr>
          <w:b/>
          <w:bCs/>
        </w:rPr>
        <w:t xml:space="preserve">projection</w:t>
      </w:r>
      <w:r>
        <w:t xml:space="preserve"> </w:t>
      </w:r>
      <w:r>
        <w:t xml:space="preserve">whose divergence from the SSOT is drift, never an</w:t>
      </w:r>
      <w:r>
        <w:t xml:space="preserve"> </w:t>
      </w:r>
      <w:r>
        <w:t xml:space="preserve">alternative truth (the DNS split-brain law, generalized):</w:t>
      </w:r>
    </w:p>
    <w:p>
      <w:pPr>
        <w:pStyle w:val="TableCaption"/>
      </w:pPr>
      <w:r>
        <w:t xml:space="preserve">The SSOT Registry — one source of truth per class</w:t>
      </w:r>
    </w:p>
    <w:tbl>
      <w:tblPr>
        <w:tblStyle w:val="Table"/>
        <w:tblW w:type="pct" w:w="5000"/>
        <w:tblLayout w:type="fixed"/>
        <w:tblLook w:firstRow="1" w:lastRow="0" w:firstColumn="0" w:lastColumn="0" w:noHBand="0" w:noVBand="0" w:val="0020"/>
        <w:tblCaption w:val="The SSOT Registry — one source of truth per class"/>
      </w:tblPr>
      <w:tblGrid>
        <w:gridCol w:w="2640"/>
        <w:gridCol w:w="2640"/>
        <w:gridCol w:w="2640"/>
      </w:tblGrid>
      <w:tr>
        <w:trPr>
          <w:tblHeader w:val="on"/>
        </w:trPr>
        <w:tc>
          <w:tcPr/>
          <w:p>
            <w:pPr>
              <w:pStyle w:val="Compact"/>
            </w:pPr>
            <w:r>
              <w:t xml:space="preserve">Object class</w:t>
            </w:r>
          </w:p>
        </w:tc>
        <w:tc>
          <w:tcPr/>
          <w:p>
            <w:pPr>
              <w:pStyle w:val="Compact"/>
            </w:pPr>
            <w:r>
              <w:t xml:space="preserve">SSOT — where its MACD-R originates</w:t>
            </w:r>
          </w:p>
        </w:tc>
        <w:tc>
          <w:tcPr/>
          <w:p>
            <w:pPr>
              <w:pStyle w:val="Compact"/>
            </w:pPr>
            <w:r>
              <w:t xml:space="preserve">Projections (never truth)</w:t>
            </w:r>
          </w:p>
        </w:tc>
      </w:tr>
      <w:tr>
        <w:tc>
          <w:tcPr/>
          <w:p>
            <w:pPr>
              <w:pStyle w:val="Compact"/>
            </w:pPr>
            <w:r>
              <w:t xml:space="preserve">Employees</w:t>
            </w:r>
          </w:p>
        </w:tc>
        <w:tc>
          <w:tcPr/>
          <w:p>
            <w:pPr>
              <w:pStyle w:val="Compact"/>
            </w:pPr>
            <w:r>
              <w:t xml:space="preserve">HR system of record</w:t>
            </w:r>
          </w:p>
        </w:tc>
        <w:tc>
          <w:tcPr/>
          <w:p>
            <w:pPr>
              <w:pStyle w:val="Compact"/>
            </w:pPr>
            <w:r>
              <w:t xml:space="preserve">Directory accounts, mailboxes</w:t>
            </w:r>
          </w:p>
        </w:tc>
      </w:tr>
      <w:tr>
        <w:tc>
          <w:tcPr/>
          <w:p>
            <w:pPr>
              <w:pStyle w:val="Compact"/>
            </w:pPr>
            <w:r>
              <w:t xml:space="preserve">Non-employee humans (contractors, vendors, partners)</w:t>
            </w:r>
          </w:p>
        </w:tc>
        <w:tc>
          <w:tcPr/>
          <w:p>
            <w:pPr>
              <w:pStyle w:val="Compact"/>
            </w:pPr>
            <w:r>
              <w:t xml:space="preserve">Non-employee registry</w:t>
            </w:r>
          </w:p>
        </w:tc>
        <w:tc>
          <w:tcPr/>
          <w:p>
            <w:pPr>
              <w:pStyle w:val="Compact"/>
            </w:pPr>
            <w:r>
              <w:t xml:space="preserve">Guest accounts, sponsored credentials</w:t>
            </w:r>
          </w:p>
        </w:tc>
      </w:tr>
      <w:tr>
        <w:tc>
          <w:tcPr/>
          <w:p>
            <w:pPr>
              <w:pStyle w:val="Compact"/>
            </w:pPr>
            <w:r>
              <w:t xml:space="preserve">Network names, addresses, segments</w:t>
            </w:r>
          </w:p>
        </w:tc>
        <w:tc>
          <w:tcPr/>
          <w:p>
            <w:pPr>
              <w:pStyle w:val="Compact"/>
            </w:pPr>
            <w:r>
              <w:t xml:space="preserve">IPAM/DDI</w:t>
            </w:r>
          </w:p>
        </w:tc>
        <w:tc>
          <w:tcPr/>
          <w:p>
            <w:pPr>
              <w:pStyle w:val="Compact"/>
            </w:pPr>
            <w:r>
              <w:t xml:space="preserve">Zone dumps, spreadsheets, scanner output</w:t>
            </w:r>
          </w:p>
        </w:tc>
      </w:tr>
      <w:tr>
        <w:tc>
          <w:tcPr/>
          <w:p>
            <w:pPr>
              <w:pStyle w:val="Compact"/>
            </w:pPr>
            <w:r>
              <w:t xml:space="preserve">Assets / components (CM-8)</w:t>
            </w:r>
          </w:p>
        </w:tc>
        <w:tc>
          <w:tcPr/>
          <w:p>
            <w:pPr>
              <w:pStyle w:val="Compact"/>
            </w:pPr>
            <w:r>
              <w:t xml:space="preserve">The authoritative inventory keyed on the naming-plane join key</w:t>
            </w:r>
          </w:p>
        </w:tc>
        <w:tc>
          <w:tcPr/>
          <w:p>
            <w:pPr>
              <w:pStyle w:val="Compact"/>
            </w:pPr>
            <w:r>
              <w:t xml:space="preserve">CMDB (reconciled projection), per-stack consoles</w:t>
            </w:r>
          </w:p>
        </w:tc>
      </w:tr>
      <w:tr>
        <w:tc>
          <w:tcPr/>
          <w:p>
            <w:pPr>
              <w:pStyle w:val="Compact"/>
            </w:pPr>
            <w:r>
              <w:t xml:space="preserve">Devices / endpoints (lifecycle)</w:t>
            </w:r>
          </w:p>
        </w:tc>
        <w:tc>
          <w:tcPr/>
          <w:p>
            <w:pPr>
              <w:pStyle w:val="Compact"/>
            </w:pPr>
            <w:r>
              <w:t xml:space="preserve">Asset-lifecycle (ITAM/procurement) registry, keyed to the join key</w:t>
            </w:r>
          </w:p>
        </w:tc>
        <w:tc>
          <w:tcPr/>
          <w:p>
            <w:pPr>
              <w:pStyle w:val="Compact"/>
            </w:pPr>
            <w:r>
              <w:t xml:space="preserve">MDM enrollment state (enforcement, not truth)</w:t>
            </w:r>
          </w:p>
        </w:tc>
      </w:tr>
      <w:tr>
        <w:tc>
          <w:tcPr/>
          <w:p>
            <w:pPr>
              <w:pStyle w:val="Compact"/>
            </w:pPr>
            <w:r>
              <w:t xml:space="preserve">Service accounts, workload identities, app registrations</w:t>
            </w:r>
          </w:p>
        </w:tc>
        <w:tc>
          <w:tcPr/>
          <w:p>
            <w:pPr>
              <w:pStyle w:val="Compact"/>
            </w:pPr>
            <w:r>
              <w:t xml:space="preserve">The</w:t>
            </w:r>
            <w:r>
              <w:t xml:space="preserve"> </w:t>
            </w:r>
            <w:r>
              <w:rPr>
                <w:b/>
                <w:bCs/>
              </w:rPr>
              <w:t xml:space="preserve">non-human identity registry</w:t>
            </w:r>
            <w:r>
              <w:t xml:space="preserve"> </w:t>
            </w:r>
            <w:r>
              <w:t xml:space="preserve">— purpose, scope, expiry, owner</w:t>
            </w:r>
          </w:p>
        </w:tc>
        <w:tc>
          <w:tcPr/>
          <w:p>
            <w:pPr>
              <w:pStyle w:val="Compact"/>
            </w:pPr>
            <w:r>
              <w:t xml:space="preserve">Directory service principals, key vault entries</w:t>
            </w:r>
          </w:p>
        </w:tc>
      </w:tr>
      <w:tr>
        <w:tc>
          <w:tcPr/>
          <w:p>
            <w:pPr>
              <w:pStyle w:val="Compact"/>
            </w:pPr>
            <w:r>
              <w:t xml:space="preserve">AI systems</w:t>
            </w:r>
          </w:p>
        </w:tc>
        <w:tc>
          <w:tcPr/>
          <w:p>
            <w:pPr>
              <w:pStyle w:val="Compact"/>
            </w:pPr>
            <w:r>
              <w:t xml:space="preserve">The agency AI use-case inventory, with a full joiner/mover/leaver lifecycle</w:t>
            </w:r>
          </w:p>
        </w:tc>
        <w:tc>
          <w:tcPr/>
          <w:p>
            <w:pPr>
              <w:pStyle w:val="Compact"/>
            </w:pPr>
            <w:r>
              <w:t xml:space="preserve">Deployment manifests, model endpoints</w:t>
            </w:r>
          </w:p>
        </w:tc>
      </w:tr>
      <w:tr>
        <w:tc>
          <w:tcPr/>
          <w:p>
            <w:pPr>
              <w:pStyle w:val="Compact"/>
            </w:pPr>
            <w:r>
              <w:t xml:space="preserve">Applications</w:t>
            </w:r>
          </w:p>
        </w:tc>
        <w:tc>
          <w:tcPr/>
          <w:p>
            <w:pPr>
              <w:pStyle w:val="Compact"/>
            </w:pPr>
            <w:r>
              <w:t xml:space="preserve">Application portfolio registry</w:t>
            </w:r>
          </w:p>
        </w:tc>
        <w:tc>
          <w:tcPr/>
          <w:p>
            <w:pPr>
              <w:pStyle w:val="Compact"/>
            </w:pPr>
            <w:r>
              <w:t xml:space="preserve">App registrations, service-catalog entries</w:t>
            </w:r>
          </w:p>
        </w:tc>
      </w:tr>
      <w:tr>
        <w:tc>
          <w:tcPr/>
          <w:p>
            <w:pPr>
              <w:pStyle w:val="Compact"/>
            </w:pPr>
            <w:r>
              <w:t xml:space="preserve">Certificates</w:t>
            </w:r>
          </w:p>
        </w:tc>
        <w:tc>
          <w:tcPr/>
          <w:p>
            <w:pPr>
              <w:pStyle w:val="Compact"/>
            </w:pPr>
            <w:r>
              <w:t xml:space="preserve">The issuance ledger of the PKI plane</w:t>
            </w:r>
          </w:p>
        </w:tc>
        <w:tc>
          <w:tcPr/>
          <w:p>
            <w:pPr>
              <w:pStyle w:val="Compact"/>
            </w:pPr>
            <w:r>
              <w:t xml:space="preserve">Local cert stores, binding configs</w:t>
            </w:r>
          </w:p>
        </w:tc>
      </w:tr>
      <w:tr>
        <w:tc>
          <w:tcPr/>
          <w:p>
            <w:pPr>
              <w:pStyle w:val="Compact"/>
            </w:pPr>
            <w:r>
              <w:t xml:space="preserve">Infrastructure declared state</w:t>
            </w:r>
          </w:p>
        </w:tc>
        <w:tc>
          <w:tcPr/>
          <w:p>
            <w:pPr>
              <w:pStyle w:val="Compact"/>
            </w:pPr>
            <w:r>
              <w:t xml:space="preserve">The IaC repository (declared state in version control)</w:t>
            </w:r>
          </w:p>
        </w:tc>
        <w:tc>
          <w:tcPr/>
          <w:p>
            <w:pPr>
              <w:pStyle w:val="Compact"/>
            </w:pPr>
            <w:r>
              <w:t xml:space="preserve">Deployed resources, consoles</w:t>
            </w:r>
          </w:p>
        </w:tc>
      </w:tr>
      <w:tr>
        <w:tc>
          <w:tcPr/>
          <w:p>
            <w:pPr>
              <w:pStyle w:val="Compact"/>
            </w:pPr>
            <w:r>
              <w:t xml:space="preserve">Org structure / physical location</w:t>
            </w:r>
          </w:p>
        </w:tc>
        <w:tc>
          <w:tcPr/>
          <w:p>
            <w:pPr>
              <w:pStyle w:val="Compact"/>
            </w:pPr>
            <w:r>
              <w:t xml:space="preserve">The governed organizational and location attributes</w:t>
            </w:r>
          </w:p>
        </w:tc>
        <w:tc>
          <w:tcPr/>
          <w:p>
            <w:pPr>
              <w:pStyle w:val="Compact"/>
            </w:pPr>
            <w:r>
              <w:t xml:space="preserve">Directory OU trees, site topology</w:t>
            </w:r>
          </w:p>
        </w:tc>
      </w:tr>
    </w:tbl>
    <w:p>
      <w:pPr>
        <w:pStyle w:val="BodyText"/>
      </w:pPr>
      <w:r>
        <w:t xml:space="preserve">Two rules make the table a doctrine rather than a list.</w:t>
      </w:r>
      <w:r>
        <w:t xml:space="preserve"> </w:t>
      </w:r>
      <w:r>
        <w:rPr>
          <w:b/>
          <w:bCs/>
        </w:rPr>
        <w:t xml:space="preserve">The Human-Anchor</w:t>
      </w:r>
      <w:r>
        <w:rPr>
          <w:b/>
          <w:bCs/>
        </w:rPr>
        <w:t xml:space="preserve"> </w:t>
      </w:r>
      <w:r>
        <w:rPr>
          <w:b/>
          <w:bCs/>
        </w:rPr>
        <w:t xml:space="preserve">Rule:</w:t>
      </w:r>
      <w:r>
        <w:t xml:space="preserve"> </w:t>
      </w:r>
      <w:r>
        <w:t xml:space="preserve">every non-human item anchors to a human owner resolvable in the HR</w:t>
      </w:r>
      <w:r>
        <w:t xml:space="preserve"> </w:t>
      </w:r>
      <w:r>
        <w:t xml:space="preserve">SSOT — the ownership chain terminates in a person, or the item is</w:t>
      </w:r>
      <w:r>
        <w:t xml:space="preserve"> </w:t>
      </w:r>
      <w:r>
        <w:rPr>
          <w:b/>
          <w:bCs/>
        </w:rPr>
        <w:t xml:space="preserve">orphaned</w:t>
      </w:r>
      <w:r>
        <w:t xml:space="preserve">: clause 2 cannot resolve an approver for it, so no operation</w:t>
      </w:r>
      <w:r>
        <w:t xml:space="preserve"> </w:t>
      </w:r>
      <w:r>
        <w:t xml:space="preserve">against it can be authorized, and nothing can attest it. The HR SSOT is</w:t>
      </w:r>
      <w:r>
        <w:t xml:space="preserve"> </w:t>
      </w:r>
      <w:r>
        <w:t xml:space="preserve">therefore the root of the ownership chain for</w:t>
      </w:r>
      <w:r>
        <w:t xml:space="preserve"> </w:t>
      </w:r>
      <w:r>
        <w:rPr>
          <w:i/>
          <w:iCs/>
        </w:rPr>
        <w:t xml:space="preserve">every</w:t>
      </w:r>
      <w:r>
        <w:t xml:space="preserve"> </w:t>
      </w:r>
      <w:r>
        <w:t xml:space="preserve">governed object, and</w:t>
      </w:r>
      <w:r>
        <w:t xml:space="preserve"> </w:t>
      </w:r>
      <w:r>
        <w:t xml:space="preserve">a leaver event fans out to the leaver’s entire anchored non-human estate.</w:t>
      </w:r>
      <w:r>
        <w:t xml:space="preserve"> </w:t>
      </w:r>
      <w:r>
        <w:rPr>
          <w:b/>
          <w:bCs/>
        </w:rPr>
        <w:t xml:space="preserve">Non-humans get JML too:</w:t>
      </w:r>
      <w:r>
        <w:t xml:space="preserve"> </w:t>
      </w:r>
      <w:r>
        <w:t xml:space="preserve">provision is a joiner, rescope or re-owner is</w:t>
      </w:r>
      <w:r>
        <w:t xml:space="preserve"> </w:t>
      </w:r>
      <w:r>
        <w:t xml:space="preserve">a mover, decommission is a leaver — with</w:t>
      </w:r>
      <w:r>
        <w:t xml:space="preserve"> </w:t>
      </w:r>
      <w:r>
        <w:rPr>
          <w:b/>
          <w:bCs/>
        </w:rPr>
        <w:t xml:space="preserve">Reset</w:t>
      </w:r>
      <w:r>
        <w:t xml:space="preserve"> </w:t>
      </w:r>
      <w:r>
        <w:t xml:space="preserve">(credential, secret,</w:t>
      </w:r>
      <w:r>
        <w:t xml:space="preserve"> </w:t>
      </w:r>
      <w:r>
        <w:t xml:space="preserve">and key rotation) as the high-risk verb for non-human identities, because</w:t>
      </w:r>
      <w:r>
        <w:t xml:space="preserve"> </w:t>
      </w:r>
      <w:r>
        <w:t xml:space="preserve">rotation is where standing privilege hides. An estate item with no SSOT</w:t>
      </w:r>
      <w:r>
        <w:t xml:space="preserve"> </w:t>
      </w:r>
      <w:r>
        <w:t xml:space="preserve">record, or an owner no longer resolvable, is an orphan finding — the</w:t>
      </w:r>
      <w:r>
        <w:t xml:space="preserve"> </w:t>
      </w:r>
      <w:r>
        <w:t xml:space="preserve">highest-value output any discovery scan can produce, because a scan can</w:t>
      </w:r>
      <w:r>
        <w:t xml:space="preserve"> </w:t>
      </w:r>
      <w:r>
        <w:t xml:space="preserve">only measure drift from a truth; it can never create one.</w:t>
      </w:r>
    </w:p>
    <w:bookmarkEnd w:id="22"/>
    <w:bookmarkStart w:id="23" w:name="X0472c19255b51b51995150e14f04655f8b85e5b"/>
    <w:p>
      <w:pPr>
        <w:pStyle w:val="Heading2"/>
      </w:pPr>
      <w:r>
        <w:t xml:space="preserve">Mechanism, Not Product — Read the Necessity Claims Correctly</w:t>
      </w:r>
    </w:p>
    <w:p>
      <w:pPr>
        <w:pStyle w:val="FirstParagraph"/>
      </w:pPr>
      <w:r>
        <w:t xml:space="preserve">“No alternate closure path”</w:t>
      </w:r>
      <w:r>
        <w:t xml:space="preserve"> </w:t>
      </w:r>
      <w:r>
        <w:t xml:space="preserve">is a claim about</w:t>
      </w:r>
      <w:r>
        <w:t xml:space="preserve"> </w:t>
      </w:r>
      <w:r>
        <w:rPr>
          <w:b/>
          <w:bCs/>
        </w:rPr>
        <w:t xml:space="preserve">mechanism classes</w:t>
      </w:r>
      <w:r>
        <w:t xml:space="preserve">, never</w:t>
      </w:r>
      <w:r>
        <w:t xml:space="preserve"> </w:t>
      </w:r>
      <w:r>
        <w:t xml:space="preserve">about vendors.</w:t>
      </w:r>
      <w:r>
        <w:t xml:space="preserve"> </w:t>
      </w:r>
      <w:r>
        <w:t xml:space="preserve">“Only port-based authentication closes IA-3”</w:t>
      </w:r>
      <w:r>
        <w:t xml:space="preserve"> </w:t>
      </w:r>
      <w:r>
        <w:t xml:space="preserve">names a protocol</w:t>
      </w:r>
      <w:r>
        <w:t xml:space="preserve"> </w:t>
      </w:r>
      <w:r>
        <w:t xml:space="preserve">behavior; it does not name a product. Every product named in this series</w:t>
      </w:r>
      <w:r>
        <w:t xml:space="preserve"> </w:t>
      </w:r>
      <w:r>
        <w:t xml:space="preserve">(InfoBlox, NPS, Cisco Catalyst SD-WAN, Entra ID, Oracle HCM Cloud, Sentinel)</w:t>
      </w:r>
      <w:r>
        <w:t xml:space="preserve"> </w:t>
      </w:r>
      <w:r>
        <w:t xml:space="preserve">is a</w:t>
      </w:r>
      <w:r>
        <w:t xml:space="preserve"> </w:t>
      </w:r>
      <w:r>
        <w:rPr>
          <w:b/>
          <w:bCs/>
        </w:rPr>
        <w:t xml:space="preserve">deployed example of its mechanism</w:t>
      </w:r>
      <w:r>
        <w:t xml:space="preserve">, and for every layer there are</w:t>
      </w:r>
      <w:r>
        <w:t xml:space="preserve"> </w:t>
      </w:r>
      <w:r>
        <w:t xml:space="preserve">FedRAMP-authorized alternatives that satisfy the same mechanism — the</w:t>
      </w:r>
      <w:r>
        <w:t xml:space="preserve"> </w:t>
      </w:r>
      <w:r>
        <w:t xml:space="preserve">alternatives matrix in the companion</w:t>
      </w:r>
      <w:r>
        <w:t xml:space="preserve"> </w:t>
      </w:r>
      <w:r>
        <w:rPr>
          <w:i/>
          <w:iCs/>
        </w:rPr>
        <w:t xml:space="preserve">Compliance / ConMon Compliance Gap</w:t>
      </w:r>
      <w:r>
        <w:rPr>
          <w:i/>
          <w:iCs/>
        </w:rPr>
        <w:t xml:space="preserve"> </w:t>
      </w:r>
      <w:r>
        <w:rPr>
          <w:i/>
          <w:iCs/>
        </w:rPr>
        <w:t xml:space="preserve">Roadmap</w:t>
      </w:r>
      <w:r>
        <w:t xml:space="preserve"> </w:t>
      </w:r>
      <w:r>
        <w:t xml:space="preserve">enumerates them per layer.</w:t>
      </w:r>
    </w:p>
    <w:p>
      <w:pPr>
        <w:pStyle w:val="BodyText"/>
      </w:pPr>
      <w:r>
        <w:t xml:space="preserve">The program doctrine that follows:</w:t>
      </w:r>
      <w:r>
        <w:t xml:space="preserve"> </w:t>
      </w:r>
      <w:r>
        <w:rPr>
          <w:b/>
          <w:bCs/>
        </w:rPr>
        <w:t xml:space="preserve">multiple compliant paths exist before</w:t>
      </w:r>
      <w:r>
        <w:rPr>
          <w:b/>
          <w:bCs/>
        </w:rPr>
        <w:t xml:space="preserve"> </w:t>
      </w:r>
      <w:r>
        <w:rPr>
          <w:b/>
          <w:bCs/>
        </w:rPr>
        <w:t xml:space="preserve">the agency chooses; exactly one exists after.</w:t>
      </w:r>
      <w:r>
        <w:t xml:space="preserve"> </w:t>
      </w:r>
      <w:r>
        <w:t xml:space="preserve">The agency must select one</w:t>
      </w:r>
      <w:r>
        <w:t xml:space="preserve"> </w:t>
      </w:r>
      <w:r>
        <w:t xml:space="preserve">implementation path per layer, and per governance the selected path becomes</w:t>
      </w:r>
      <w:r>
        <w:t xml:space="preserve"> </w:t>
      </w:r>
      <w:r>
        <w:t xml:space="preserve">mandatory once chosen — because split implementations of a truth plane</w:t>
      </w:r>
      <w:r>
        <w:t xml:space="preserve"> </w:t>
      </w:r>
      <w:r>
        <w:t xml:space="preserve">recreate the fragmented-truth problem this series exists to end.</w:t>
      </w:r>
    </w:p>
    <w:bookmarkEnd w:id="23"/>
    <w:bookmarkStart w:id="24" w:name="dia-is-a-pipe-the-three-step-argument"/>
    <w:p>
      <w:pPr>
        <w:pStyle w:val="Heading2"/>
      </w:pPr>
      <w:r>
        <w:t xml:space="preserve">DIA Is a Pipe — The Three-Step Argument</w:t>
      </w:r>
    </w:p>
    <w:p>
      <w:pPr>
        <w:pStyle w:val="Compact"/>
        <w:numPr>
          <w:ilvl w:val="0"/>
          <w:numId w:val="1012"/>
        </w:numPr>
      </w:pPr>
      <w:r>
        <w:rPr>
          <w:b/>
          <w:bCs/>
        </w:rPr>
        <w:t xml:space="preserve">What DIA solves:</w:t>
      </w:r>
      <w:r>
        <w:t xml:space="preserve"> </w:t>
      </w:r>
      <w:r>
        <w:t xml:space="preserve">exactly one thing — the geographic hairpin. ITU-T</w:t>
      </w:r>
      <w:r>
        <w:t xml:space="preserve"> </w:t>
      </w:r>
      <w:r>
        <w:t xml:space="preserve">G.114’s 150ms one-way budget is a physics constraint, and local breakout is</w:t>
      </w:r>
      <w:r>
        <w:t xml:space="preserve"> </w:t>
      </w:r>
      <w:r>
        <w:t xml:space="preserve">the only fix. No security product shortens a fiber path.</w:t>
      </w:r>
    </w:p>
    <w:p>
      <w:pPr>
        <w:pStyle w:val="Compact"/>
        <w:numPr>
          <w:ilvl w:val="0"/>
          <w:numId w:val="1012"/>
        </w:numPr>
      </w:pPr>
      <w:r>
        <w:rPr>
          <w:b/>
          <w:bCs/>
        </w:rPr>
        <w:t xml:space="preserve">What DIA satisfies:</w:t>
      </w:r>
      <w:r>
        <w:t xml:space="preserve"> </w:t>
      </w:r>
      <w:r>
        <w:t xml:space="preserve">none of the protection controls claimed near it.</w:t>
      </w:r>
      <w:r>
        <w:t xml:space="preserve"> </w:t>
      </w:r>
      <w:r>
        <w:t xml:space="preserve">Information flow enforcement, boundary protection, transmission</w:t>
      </w:r>
      <w:r>
        <w:t xml:space="preserve"> </w:t>
      </w:r>
      <w:r>
        <w:t xml:space="preserve">confidentiality, malware inspection, monitoring, and audit are satisfied</w:t>
      </w:r>
      <w:r>
        <w:t xml:space="preserve"> </w:t>
      </w:r>
      <w:r>
        <w:t xml:space="preserve">by the SD-WAN/SASE/TIC 3.0 stack that governs the pipe — never by the</w:t>
      </w:r>
      <w:r>
        <w:t xml:space="preserve"> </w:t>
      </w:r>
      <w:r>
        <w:t xml:space="preserve">pipe. The one closure transport selection itself provides is</w:t>
      </w:r>
      <w:r>
        <w:t xml:space="preserve"> </w:t>
      </w:r>
      <w:r>
        <w:rPr>
          <w:b/>
          <w:bCs/>
        </w:rPr>
        <w:t xml:space="preserve">CP-8</w:t>
      </w:r>
      <w:r>
        <w:rPr>
          <w:b/>
          <w:bCs/>
        </w:rPr>
        <w:t xml:space="preserve"> </w:t>
      </w:r>
      <w:r>
        <w:rPr>
          <w:b/>
          <w:bCs/>
        </w:rPr>
        <w:t xml:space="preserve">(Telecommunications Services)</w:t>
      </w:r>
      <w:r>
        <w:t xml:space="preserve">, through provider and path diversity —</w:t>
      </w:r>
      <w:r>
        <w:t xml:space="preserve"> </w:t>
      </w:r>
      <w:r>
        <w:t xml:space="preserve">an argument for the multi-transport menu, never for the bare circuit.</w:t>
      </w:r>
    </w:p>
    <w:p>
      <w:pPr>
        <w:pStyle w:val="Compact"/>
        <w:numPr>
          <w:ilvl w:val="0"/>
          <w:numId w:val="1012"/>
        </w:numPr>
      </w:pPr>
      <w:r>
        <w:rPr>
          <w:b/>
          <w:bCs/>
        </w:rPr>
        <w:t xml:space="preserve">What bare DIA breaks:</w:t>
      </w:r>
      <w:r>
        <w:t xml:space="preserve"> </w:t>
      </w:r>
      <w:r>
        <w:t xml:space="preserve">the boundary it replaced. A field office moved</w:t>
      </w:r>
      <w:r>
        <w:t xml:space="preserve"> </w:t>
      </w:r>
      <w:r>
        <w:t xml:space="preserve">from the MPLS/TIC 2.0 hairpin to ungoverned DIA has</w:t>
      </w:r>
      <w:r>
        <w:t xml:space="preserve"> </w:t>
      </w:r>
      <w:r>
        <w:rPr>
          <w:i/>
          <w:iCs/>
        </w:rPr>
        <w:t xml:space="preserve">lost</w:t>
      </w:r>
      <w:r>
        <w:t xml:space="preserve"> </w:t>
      </w:r>
      <w:r>
        <w:t xml:space="preserve">SC-7 boundary</w:t>
      </w:r>
      <w:r>
        <w:t xml:space="preserve"> </w:t>
      </w:r>
      <w:r>
        <w:t xml:space="preserve">protection relative to its starting point. From the assessor’s chair, bare</w:t>
      </w:r>
      <w:r>
        <w:t xml:space="preserve"> </w:t>
      </w:r>
      <w:r>
        <w:t xml:space="preserve">DIA is not modernization — it is a compliance regression with better</w:t>
      </w:r>
      <w:r>
        <w:t xml:space="preserve"> </w:t>
      </w:r>
      <w:r>
        <w:t xml:space="preserve">latency.</w:t>
      </w:r>
    </w:p>
    <w:bookmarkEnd w:id="24"/>
    <w:bookmarkEnd w:id="25"/>
    <w:bookmarkStart w:id="26" w:name="Xf8de29cfeb422b4472c7c7d92bb03b44a5c864b"/>
    <w:p>
      <w:pPr>
        <w:pStyle w:val="Heading1"/>
      </w:pPr>
      <w:r>
        <w:t xml:space="preserve">The Dissolution of the Load-Balancer Tier</w:t>
      </w:r>
    </w:p>
    <w:p>
      <w:pPr>
        <w:pStyle w:val="FirstParagraph"/>
      </w:pPr>
      <w:r>
        <w:t xml:space="preserve">A common objection to the transport doctrine above is that SD-WAN</w:t>
      </w:r>
      <w:r>
        <w:t xml:space="preserve"> </w:t>
      </w:r>
      <w:r>
        <w:t xml:space="preserve">“replaces”</w:t>
      </w:r>
      <w:r>
        <w:t xml:space="preserve"> </w:t>
      </w:r>
      <w:r>
        <w:t xml:space="preserve">the load-balancer and proxy tier. It does not — and the claim would hand any</w:t>
      </w:r>
      <w:r>
        <w:t xml:space="preserve"> </w:t>
      </w:r>
      <w:r>
        <w:t xml:space="preserve">reviewer an easy rebuttal. What actually happens is more interesting:</w:t>
      </w:r>
      <w:r>
        <w:t xml:space="preserve"> </w:t>
      </w:r>
      <w:r>
        <w:rPr>
          <w:b/>
          <w:bCs/>
        </w:rPr>
        <w:t xml:space="preserve">SD-WAN retires the WAN edge. The load-balancer tier dissolves upward into</w:t>
      </w:r>
      <w:r>
        <w:rPr>
          <w:b/>
          <w:bCs/>
        </w:rPr>
        <w:t xml:space="preserve"> </w:t>
      </w:r>
      <w:r>
        <w:rPr>
          <w:b/>
          <w:bCs/>
        </w:rPr>
        <w:t xml:space="preserve">cloud-native delivery services and downward into the DNS control plane.</w:t>
      </w:r>
      <w:r>
        <w:t xml:space="preserve"> </w:t>
      </w:r>
      <w:r>
        <w:t xml:space="preserve">The</w:t>
      </w:r>
      <w:r>
        <w:t xml:space="preserve"> </w:t>
      </w:r>
      <w:r>
        <w:t xml:space="preserve">classic appliance functions do not migrate to one successor; each dissolves</w:t>
      </w:r>
      <w:r>
        <w:t xml:space="preserve"> </w:t>
      </w:r>
      <w:r>
        <w:t xml:space="preserve">into the functional plane that always logically owned it:</w:t>
      </w:r>
    </w:p>
    <w:p>
      <w:pPr>
        <w:pStyle w:val="TableCaption"/>
      </w:pPr>
      <w:r>
        <w:t xml:space="preserve">Where the ADC Tier’s Functions Land</w:t>
      </w:r>
    </w:p>
    <w:tbl>
      <w:tblPr>
        <w:tblStyle w:val="Table"/>
        <w:tblW w:type="pct" w:w="5000"/>
        <w:tblLayout w:type="fixed"/>
        <w:tblLook w:firstRow="1" w:lastRow="0" w:firstColumn="0" w:lastColumn="0" w:noHBand="0" w:noVBand="0" w:val="0020"/>
        <w:tblCaption w:val="Where the ADC Tier’s Functions Land"/>
      </w:tblPr>
      <w:tblGrid>
        <w:gridCol w:w="1980"/>
        <w:gridCol w:w="1980"/>
        <w:gridCol w:w="1980"/>
        <w:gridCol w:w="198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c>
          <w:tcPr/>
          <w:p>
            <w:pPr>
              <w:pStyle w:val="Compact"/>
            </w:pPr>
            <w:r>
              <w:t xml:space="preserve">Series home</w:t>
            </w:r>
          </w:p>
        </w:tc>
      </w:tr>
      <w:tr>
        <w:tc>
          <w:tcPr/>
          <w:p>
            <w:pPr>
              <w:pStyle w:val="Compact"/>
            </w:pPr>
            <w:r>
              <w:t xml:space="preserve">Forward proxy · VPN concentrator · SWG appliance</w:t>
            </w:r>
          </w:p>
        </w:tc>
        <w:tc>
          <w:tcPr/>
          <w:p>
            <w:pPr>
              <w:pStyle w:val="Compact"/>
            </w:pPr>
            <w:r>
              <w:t xml:space="preserve">SASE/SSE (SWG, CASB, ZTNA)</w:t>
            </w:r>
          </w:p>
        </w:tc>
        <w:tc>
          <w:tcPr/>
          <w:p>
            <w:pPr>
              <w:pStyle w:val="Compact"/>
            </w:pPr>
            <w:r>
              <w:t xml:space="preserve">Policy enforcement (plane 4)</w:t>
            </w:r>
          </w:p>
        </w:tc>
        <w:tc>
          <w:tcPr/>
          <w:p>
            <w:pPr>
              <w:pStyle w:val="Compact"/>
            </w:pPr>
            <w:r>
              <w:t xml:space="preserve">Vol I Books 05–06</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L4/L7 cloud load balancers)</w:t>
            </w:r>
          </w:p>
        </w:tc>
        <w:tc>
          <w:tcPr/>
          <w:p>
            <w:pPr>
              <w:pStyle w:val="Compact"/>
            </w:pPr>
            <w:r>
              <w:t xml:space="preserve">Application delivery (plane 5, landing-zone function)</w:t>
            </w:r>
          </w:p>
        </w:tc>
        <w:tc>
          <w:tcPr/>
          <w:p>
            <w:pPr>
              <w:pStyle w:val="Compact"/>
            </w:pPr>
            <w:r>
              <w:t xml:space="preserve">Vol I Book 01</w:t>
            </w:r>
          </w:p>
        </w:tc>
      </w:tr>
      <w:tr>
        <w:tc>
          <w:tcPr/>
          <w:p>
            <w:pPr>
              <w:pStyle w:val="Compact"/>
            </w:pPr>
            <w:r>
              <w:t xml:space="preserve">Global server load balancing (GSLB) · traffic steering</w:t>
            </w:r>
          </w:p>
        </w:tc>
        <w:tc>
          <w:tcPr/>
          <w:p>
            <w:pPr>
              <w:pStyle w:val="Compact"/>
            </w:pPr>
            <w:r>
              <w:t xml:space="preserve">DNS-based traffic management — health-checked responses, weighted and geo policies</w:t>
            </w:r>
          </w:p>
        </w:tc>
        <w:tc>
          <w:tcPr/>
          <w:p>
            <w:pPr>
              <w:pStyle w:val="Compact"/>
            </w:pPr>
            <w:r>
              <w:rPr>
                <w:b/>
                <w:bCs/>
              </w:rPr>
              <w:t xml:space="preserve">Naming &amp; addressing (plane 2) — a DDI control-plane function</w:t>
            </w:r>
          </w:p>
        </w:tc>
        <w:tc>
          <w:tcPr/>
          <w:p>
            <w:pPr>
              <w:pStyle w:val="Compact"/>
            </w:pPr>
            <w:r>
              <w:t xml:space="preserve">Vol I Books 01, 03</w:t>
            </w:r>
          </w:p>
        </w:tc>
      </w:tr>
    </w:tbl>
    <w:p>
      <w:pPr>
        <w:pStyle w:val="BodyText"/>
      </w:pPr>
      <w:r>
        <w:t xml:space="preserve">The third row is the one to watch: global traffic steering</w:t>
      </w:r>
      <w:r>
        <w:t xml:space="preserve"> </w:t>
      </w:r>
      <w:r>
        <w:rPr>
          <w:i/>
          <w:iCs/>
        </w:rPr>
        <w:t xml:space="preserve">is</w:t>
      </w:r>
      <w:r>
        <w:t xml:space="preserve"> </w:t>
      </w:r>
      <w:r>
        <w:t xml:space="preserve">DNS. As the</w:t>
      </w:r>
      <w:r>
        <w:t xml:space="preserve"> </w:t>
      </w:r>
      <w:r>
        <w:t xml:space="preserve">hardware tier retires, the steering function returns to the naming plane it</w:t>
      </w:r>
      <w:r>
        <w:t xml:space="preserve"> </w:t>
      </w:r>
      <w:r>
        <w:t xml:space="preserve">always answered from — which is why Vol I Book 01’s DDI architecture, not any</w:t>
      </w:r>
      <w:r>
        <w:t xml:space="preserve"> </w:t>
      </w:r>
      <w:r>
        <w:t xml:space="preserve">transport technology, is where the series documents it.</w:t>
      </w:r>
    </w:p>
    <w:p>
      <w:r>
        <w:pict>
          <v:rect style="width:0;height:1.5pt" o:hralign="center" o:hrstd="t" o:hr="t"/>
        </w:pict>
      </w:r>
    </w:p>
    <w:bookmarkEnd w:id="26"/>
    <w:bookmarkStart w:id="30" w:name="X872aa70eb454b8602b22a01e9873e7710ad80b1"/>
    <w:p>
      <w:pPr>
        <w:pStyle w:val="Heading1"/>
      </w:pPr>
      <w:r>
        <w:t xml:space="preserve">The Management-Plane Coordination Doctrine</w:t>
      </w:r>
    </w:p>
    <w:p>
      <w:pPr>
        <w:pStyle w:val="FirstParagraph"/>
      </w:pPr>
      <w:r>
        <w:t xml:space="preserve">The series’ Microsoft-shaped reference stack — InfoBlox DDI, Entra ID, Intune,</w:t>
      </w:r>
      <w:r>
        <w:t xml:space="preserve"> </w:t>
      </w:r>
      <w:r>
        <w:t xml:space="preserve">Azure Arc, Sentinel — is a faithful</w:t>
      </w:r>
      <w:r>
        <w:t xml:space="preserve"> </w:t>
      </w:r>
      <w:r>
        <w:rPr>
          <w:i/>
          <w:iCs/>
        </w:rPr>
        <w:t xml:space="preserve">example</w:t>
      </w:r>
      <w:r>
        <w:t xml:space="preserve"> </w:t>
      </w:r>
      <w:r>
        <w:t xml:space="preserve">of each mechanism, but it answers</w:t>
      </w:r>
      <w:r>
        <w:t xml:space="preserve"> </w:t>
      </w:r>
      <w:r>
        <w:t xml:space="preserve">only half the question a multi-cloud federal agency actually faces:</w:t>
      </w:r>
    </w:p>
    <w:p>
      <w:pPr>
        <w:pStyle w:val="BlockText"/>
      </w:pPr>
      <w:r>
        <w:rPr>
          <w:b/>
          <w:bCs/>
        </w:rPr>
        <w:t xml:space="preserve">When compute lives on Azure, AWS GovCloud, Oracle OCI, VMware, and Red Hat</w:t>
      </w:r>
      <w:r>
        <w:rPr>
          <w:b/>
          <w:bCs/>
        </w:rPr>
        <w:t xml:space="preserve"> </w:t>
      </w:r>
      <w:r>
        <w:rPr>
          <w:b/>
          <w:bCs/>
        </w:rPr>
        <w:t xml:space="preserve">at the same time — is everything governed under one Microsoft plane (Intune /</w:t>
      </w:r>
      <w:r>
        <w:rPr>
          <w:b/>
          <w:bCs/>
        </w:rPr>
        <w:t xml:space="preserve"> </w:t>
      </w:r>
      <w:r>
        <w:rPr>
          <w:b/>
          <w:bCs/>
        </w:rPr>
        <w:t xml:space="preserve">Azure Arc), or does each platform run its own management stack? And if the</w:t>
      </w:r>
      <w:r>
        <w:rPr>
          <w:b/>
          <w:bCs/>
        </w:rPr>
        <w:t xml:space="preserve"> </w:t>
      </w:r>
      <w:r>
        <w:rPr>
          <w:b/>
          <w:bCs/>
        </w:rPr>
        <w:t xml:space="preserve">latter, how do they coordinate into one compliance picture?</w:t>
      </w:r>
    </w:p>
    <w:p>
      <w:pPr>
        <w:pStyle w:val="FirstParagraph"/>
      </w:pPr>
      <w:r>
        <w:t xml:space="preserve">The doctrine answer is neither monoculture nor free-for-all:</w:t>
      </w:r>
      <w:r>
        <w:t xml:space="preserve"> </w:t>
      </w:r>
      <w:r>
        <w:rPr>
          <w:b/>
          <w:bCs/>
        </w:rPr>
        <w:t xml:space="preserve">the management</w:t>
      </w:r>
      <w:r>
        <w:rPr>
          <w:b/>
          <w:bCs/>
        </w:rPr>
        <w:t xml:space="preserve"> </w:t>
      </w:r>
      <w:r>
        <w:rPr>
          <w:b/>
          <w:bCs/>
        </w:rPr>
        <w:t xml:space="preserve">plane splits in two — actuation is platform-native; governance is unified.</w:t>
      </w:r>
    </w:p>
    <w:bookmarkStart w:id="27" w:name="X5f7903295260e7b8d961e985b5f2c1cd04e5193"/>
    <w:p>
      <w:pPr>
        <w:pStyle w:val="Heading2"/>
      </w:pPr>
      <w:r>
        <w:t xml:space="preserve">Actuation Is Platform-Native — No Overlay Repeals a Support Boundary</w:t>
      </w:r>
    </w:p>
    <w:p>
      <w:pPr>
        <w:pStyle w:val="FirstParagraph"/>
      </w:pPr>
      <w:r>
        <w:t xml:space="preserve">Each platform patches and configures with the stack its own support model</w:t>
      </w:r>
      <w:r>
        <w:t xml:space="preserve"> </w:t>
      </w:r>
      <w:r>
        <w:t xml:space="preserve">requires. This is a support-contract and physics constraint of the same kind as</w:t>
      </w:r>
      <w:r>
        <w:t xml:space="preserve"> </w:t>
      </w:r>
      <w:r>
        <w:t xml:space="preserve">the G.114 latency floor — not a preference to be optimized away.</w:t>
      </w:r>
    </w:p>
    <w:p>
      <w:pPr>
        <w:pStyle w:val="TableCaption"/>
      </w:pPr>
      <w:r>
        <w:t xml:space="preserve">Actuation Stacks by Platform — the SI-2 / CM Closure Mechanism per Cell</w:t>
      </w:r>
    </w:p>
    <w:tbl>
      <w:tblPr>
        <w:tblStyle w:val="Table"/>
        <w:tblW w:type="pct" w:w="5000"/>
        <w:tblLayout w:type="fixed"/>
        <w:tblLook w:firstRow="1" w:lastRow="0" w:firstColumn="0" w:lastColumn="0" w:noHBand="0" w:noVBand="0" w:val="0020"/>
        <w:tblCaption w:val="Actuation Stacks by Platform — the SI-2 / CM Closure Mechanism per Cell"/>
      </w:tblPr>
      <w:tblGrid>
        <w:gridCol w:w="2640"/>
        <w:gridCol w:w="2640"/>
        <w:gridCol w:w="2640"/>
      </w:tblGrid>
      <w:tr>
        <w:trPr>
          <w:tblHeader w:val="on"/>
        </w:trPr>
        <w:tc>
          <w:tcPr/>
          <w:p>
            <w:pPr>
              <w:pStyle w:val="Compact"/>
            </w:pPr>
            <w:r>
              <w:t xml:space="preserve">Platform</w:t>
            </w:r>
          </w:p>
        </w:tc>
        <w:tc>
          <w:tcPr/>
          <w:p>
            <w:pPr>
              <w:pStyle w:val="Compact"/>
            </w:pPr>
            <w:r>
              <w:t xml:space="preserve">Guest-OS actuation</w:t>
            </w:r>
          </w:p>
        </w:tc>
        <w:tc>
          <w:tcPr/>
          <w:p>
            <w:pPr>
              <w:pStyle w:val="Compact"/>
            </w:pPr>
            <w:r>
              <w:t xml:space="preserve">Platform / appliance actuation</w:t>
            </w:r>
          </w:p>
        </w:tc>
      </w:tr>
      <w:tr>
        <w:tc>
          <w:tcPr/>
          <w:p>
            <w:pPr>
              <w:pStyle w:val="Compact"/>
            </w:pPr>
            <w:r>
              <w:rPr>
                <w:b/>
                <w:bCs/>
              </w:rPr>
              <w:t xml:space="preserve">Microsoft</w:t>
            </w:r>
          </w:p>
        </w:tc>
        <w:tc>
          <w:tcPr/>
          <w:p>
            <w:pPr>
              <w:pStyle w:val="Compact"/>
            </w:pPr>
            <w:r>
              <w:t xml:space="preserve">Intune (WUfB / Autopatch), Azure Update Manager (+ Arc for hybrid)</w:t>
            </w:r>
          </w:p>
        </w:tc>
        <w:tc>
          <w:tcPr/>
          <w:p>
            <w:pPr>
              <w:pStyle w:val="Compact"/>
            </w:pPr>
            <w:r>
              <w:t xml:space="preserve">SaaS layer CSP-managed (M365)</w:t>
            </w:r>
          </w:p>
        </w:tc>
      </w:tr>
      <w:tr>
        <w:tc>
          <w:tcPr/>
          <w:p>
            <w:pPr>
              <w:pStyle w:val="Compact"/>
            </w:pPr>
            <w:r>
              <w:rPr>
                <w:b/>
                <w:bCs/>
              </w:rPr>
              <w:t xml:space="preserve">AWS</w:t>
            </w:r>
          </w:p>
        </w:tc>
        <w:tc>
          <w:tcPr/>
          <w:p>
            <w:pPr>
              <w:pStyle w:val="Compact"/>
            </w:pPr>
            <w:r>
              <w:t xml:space="preserve">Systems Manager (SSM) Patch Manager / State Manager</w:t>
            </w:r>
          </w:p>
        </w:tc>
        <w:tc>
          <w:tcPr/>
          <w:p>
            <w:pPr>
              <w:pStyle w:val="Compact"/>
            </w:pPr>
            <w:r>
              <w:t xml:space="preserve">EC2 Image Builder (golden AMI); RDS / Lambda CSP-managed</w:t>
            </w:r>
          </w:p>
        </w:tc>
      </w:tr>
      <w:tr>
        <w:tc>
          <w:tcPr/>
          <w:p>
            <w:pPr>
              <w:pStyle w:val="Compact"/>
            </w:pPr>
            <w:r>
              <w:rPr>
                <w:b/>
                <w:bCs/>
              </w:rPr>
              <w:t xml:space="preserve">Oracle (OCI)</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Autonomous Database self-patching</w:t>
            </w:r>
          </w:p>
        </w:tc>
      </w:tr>
      <w:tr>
        <w:tc>
          <w:tcPr/>
          <w:p>
            <w:pPr>
              <w:pStyle w:val="Compact"/>
            </w:pPr>
            <w:r>
              <w:rPr>
                <w:b/>
                <w:bCs/>
              </w:rPr>
              <w:t xml:space="preserve">VMware</w:t>
            </w:r>
          </w:p>
        </w:tc>
        <w:tc>
          <w:tcPr/>
          <w:p>
            <w:pPr>
              <w:pStyle w:val="Compact"/>
            </w:pPr>
            <w:r>
              <w:t xml:space="preserve">Workspace ONE (endpoints)</w:t>
            </w:r>
          </w:p>
        </w:tc>
        <w:tc>
          <w:tcPr/>
          <w:p>
            <w:pPr>
              <w:pStyle w:val="Compact"/>
            </w:pPr>
            <w:r>
              <w:rPr>
                <w:b/>
                <w:bCs/>
              </w:rPr>
              <w:t xml:space="preserve">vSphere Lifecycle Manager</w:t>
            </w:r>
            <w:r>
              <w:t xml:space="preserve"> </w:t>
            </w:r>
            <w:r>
              <w:t xml:space="preserve">(ESXi + firmware)</w:t>
            </w:r>
          </w:p>
        </w:tc>
      </w:tr>
      <w:tr>
        <w:tc>
          <w:tcPr/>
          <w:p>
            <w:pPr>
              <w:pStyle w:val="Compact"/>
            </w:pPr>
            <w:r>
              <w:rPr>
                <w:b/>
                <w:bCs/>
              </w:rPr>
              <w:t xml:space="preserve">Red Hat</w:t>
            </w:r>
          </w:p>
        </w:tc>
        <w:tc>
          <w:tcPr/>
          <w:p>
            <w:pPr>
              <w:pStyle w:val="Compact"/>
            </w:pPr>
            <w:r>
              <w:t xml:space="preserve">Satellite (content / patch), Ansible Automation Platform, Insights</w:t>
            </w:r>
          </w:p>
        </w:tc>
        <w:tc>
          <w:tcPr/>
          <w:p>
            <w:pPr>
              <w:pStyle w:val="Compact"/>
            </w:pPr>
            <w:r>
              <w:t xml:space="preserve">—</w:t>
            </w:r>
          </w:p>
        </w:tc>
      </w:tr>
    </w:tbl>
    <w:p>
      <w:pPr>
        <w:pStyle w:val="BodyText"/>
      </w:pPr>
      <w:r>
        <w:rPr>
          <w:b/>
          <w:bCs/>
        </w:rPr>
        <w:t xml:space="preserve">Azure Arc governs the guest OS across clouds and on-prem — it does not patch</w:t>
      </w:r>
      <w:r>
        <w:rPr>
          <w:b/>
          <w:bCs/>
        </w:rPr>
        <w:t xml:space="preserve"> </w:t>
      </w:r>
      <w:r>
        <w:rPr>
          <w:b/>
          <w:bCs/>
        </w:rPr>
        <w:t xml:space="preserve">ESXi, firmware, or a managed database service.</w:t>
      </w:r>
      <w:r>
        <w:t xml:space="preserve"> </w:t>
      </w:r>
      <w:r>
        <w:t xml:space="preserve">A</w:t>
      </w:r>
      <w:r>
        <w:t xml:space="preserve"> </w:t>
      </w:r>
      <w:r>
        <w:t xml:space="preserve">“put everything under Arc”</w:t>
      </w:r>
      <w:r>
        <w:t xml:space="preserve"> </w:t>
      </w:r>
      <w:r>
        <w:t xml:space="preserve">claim fails at the first hypervisor or appliance. Arc is one important</w:t>
      </w:r>
      <w:r>
        <w:t xml:space="preserve"> </w:t>
      </w:r>
      <w:r>
        <w:t xml:space="preserve">actuation-and-visibility tool inside the plane; it is not the plane. The same</w:t>
      </w:r>
      <w:r>
        <w:t xml:space="preserve"> </w:t>
      </w:r>
      <w:r>
        <w:t xml:space="preserve">holds in reverse for every vendor — no single stack reaches every layer of a</w:t>
      </w:r>
      <w:r>
        <w:t xml:space="preserve"> </w:t>
      </w:r>
      <w:r>
        <w:t xml:space="preserve">genuinely multi-cloud estate.</w:t>
      </w:r>
    </w:p>
    <w:bookmarkEnd w:id="27"/>
    <w:bookmarkStart w:id="28" w:name="X6c1c669358154ad314298f7e1c738ed651e0d83"/>
    <w:p>
      <w:pPr>
        <w:pStyle w:val="Heading2"/>
      </w:pPr>
      <w:r>
        <w:t xml:space="preserve">Governance Is Unified — Coordination Lives in a Contract, Not a Tool</w:t>
      </w:r>
    </w:p>
    <w:p>
      <w:pPr>
        <w:pStyle w:val="FirstParagraph"/>
      </w:pPr>
      <w:r>
        <w:t xml:space="preserve">Coordination does not happen by forcing every workload onto one vendor’s</w:t>
      </w:r>
      <w:r>
        <w:t xml:space="preserve"> </w:t>
      </w:r>
      <w:r>
        <w:t xml:space="preserve">console. It happens by requiring every native stack to emit the</w:t>
      </w:r>
      <w:r>
        <w:t xml:space="preserve"> </w:t>
      </w:r>
      <w:r>
        <w:rPr>
          <w:b/>
          <w:bCs/>
        </w:rPr>
        <w:t xml:space="preserve">same</w:t>
      </w:r>
      <w:r>
        <w:rPr>
          <w:b/>
          <w:bCs/>
        </w:rPr>
        <w:t xml:space="preserve"> </w:t>
      </w:r>
      <w:r>
        <w:rPr>
          <w:b/>
          <w:bCs/>
        </w:rPr>
        <w:t xml:space="preserve">machine-readable compliance record</w:t>
      </w:r>
      <w:r>
        <w:t xml:space="preserve"> </w:t>
      </w:r>
      <w:r>
        <w:t xml:space="preserve">— patch state, baseline conformance,</w:t>
      </w:r>
      <w:r>
        <w:t xml:space="preserve"> </w:t>
      </w:r>
      <w:r>
        <w:t xml:space="preserve">last-scan time, remediation-SLA class — into one evidence lake (Sentinel /</w:t>
      </w:r>
      <w:r>
        <w:t xml:space="preserve"> </w:t>
      </w:r>
      <w:r>
        <w:t xml:space="preserve">Log Analytics), and up into</w:t>
      </w:r>
      <w:r>
        <w:t xml:space="preserve"> </w:t>
      </w:r>
      <w:r>
        <w:rPr>
          <w:b/>
          <w:bCs/>
        </w:rPr>
        <w:t xml:space="preserve">CISA CDM</w:t>
      </w:r>
      <w:r>
        <w:t xml:space="preserve"> </w:t>
      </w:r>
      <w:r>
        <w:t xml:space="preserve">and the FedRAMP 20x KSI evidence</w:t>
      </w:r>
      <w:r>
        <w:t xml:space="preserve"> </w:t>
      </w:r>
      <w:r>
        <w:t xml:space="preserve">pipeline. Any stack that satisfies the contract is admissible. The series</w:t>
      </w:r>
      <w:r>
        <w:t xml:space="preserve"> </w:t>
      </w:r>
      <w:r>
        <w:t xml:space="preserve">mandates the</w:t>
      </w:r>
      <w:r>
        <w:t xml:space="preserve"> </w:t>
      </w:r>
      <w:r>
        <w:rPr>
          <w:i/>
          <w:iCs/>
        </w:rPr>
        <w:t xml:space="preserve">contract</w:t>
      </w:r>
      <w:r>
        <w:t xml:space="preserve">, never the vendor.</w:t>
      </w:r>
    </w:p>
    <w:bookmarkEnd w:id="28"/>
    <w:bookmarkStart w:id="29" w:name="X5fbfeda6061280888b02275bbc770eda8f4709b"/>
    <w:p>
      <w:pPr>
        <w:pStyle w:val="Heading2"/>
      </w:pPr>
      <w:r>
        <w:t xml:space="preserve">The Join Key Is Authoritative Asset Identity — Coordination Is a Naming-Plane Necessity</w:t>
      </w:r>
    </w:p>
    <w:p>
      <w:pPr>
        <w:pStyle w:val="FirstParagraph"/>
      </w:pPr>
      <w:r>
        <w:t xml:space="preserve">You cannot correlate an AWS instance, an Azure Arc server, a VMware VM, and a</w:t>
      </w:r>
      <w:r>
        <w:t xml:space="preserve"> </w:t>
      </w:r>
      <w:r>
        <w:t xml:space="preserve">Red Hat host into one compliance picture unless every asset carries</w:t>
      </w:r>
      <w:r>
        <w:t xml:space="preserve"> </w:t>
      </w:r>
      <w:r>
        <w:rPr>
          <w:b/>
          <w:bCs/>
        </w:rPr>
        <w:t xml:space="preserve">one</w:t>
      </w:r>
      <w:r>
        <w:rPr>
          <w:b/>
          <w:bCs/>
        </w:rPr>
        <w:t xml:space="preserve"> </w:t>
      </w:r>
      <w:r>
        <w:rPr>
          <w:b/>
          <w:bCs/>
        </w:rPr>
        <w:t xml:space="preserve">authoritative name and address</w:t>
      </w:r>
      <w:r>
        <w:t xml:space="preserve">. The naming/addressing plane (Vol I Book 01’s DDI,</w:t>
      </w:r>
      <w:r>
        <w:t xml:space="preserve"> </w:t>
      </w:r>
      <w:r>
        <w:t xml:space="preserve">CM-8) is the join key on which multi-stack coordination depends — which makes</w:t>
      </w:r>
      <w:r>
        <w:t xml:space="preserve"> </w:t>
      </w:r>
      <w:r>
        <w:t xml:space="preserve">heterogeneous management a</w:t>
      </w:r>
      <w:r>
        <w:t xml:space="preserve"> </w:t>
      </w:r>
      <w:r>
        <w:rPr>
          <w:b/>
          <w:bCs/>
        </w:rPr>
        <w:t xml:space="preserve">Closure Necessity argument for IPAM/DDI</w:t>
      </w:r>
      <w:r>
        <w:t xml:space="preserve">, not an</w:t>
      </w:r>
      <w:r>
        <w:t xml:space="preserve"> </w:t>
      </w:r>
      <w:r>
        <w:t xml:space="preserve">argument against it.</w:t>
      </w:r>
    </w:p>
    <w:p>
      <w:pPr>
        <w:pStyle w:val="BodyText"/>
      </w:pPr>
      <w:r>
        <w:t xml:space="preserve">It is also a federal mandate:</w:t>
      </w:r>
      <w:r>
        <w:t xml:space="preserve"> </w:t>
      </w:r>
      <w:r>
        <w:rPr>
          <w:b/>
          <w:bCs/>
        </w:rPr>
        <w:t xml:space="preserve">CISA BOD 23-01</w:t>
      </w:r>
      <w:r>
        <w:t xml:space="preserve"> </w:t>
      </w:r>
      <w:r>
        <w:t xml:space="preserve">requires agency-wide asset</w:t>
      </w:r>
      <w:r>
        <w:t xml:space="preserve"> </w:t>
      </w:r>
      <w:r>
        <w:t xml:space="preserve">visibility and vulnerability enumeration across exactly this heterogeneity. An</w:t>
      </w:r>
      <w:r>
        <w:t xml:space="preserve"> </w:t>
      </w:r>
      <w:r>
        <w:t xml:space="preserve">agency running five management stacks with five inventories and no authoritative</w:t>
      </w:r>
      <w:r>
        <w:t xml:space="preserve"> </w:t>
      </w:r>
      <w:r>
        <w:t xml:space="preserve">join key does not have asset visibility — it has five partial views that cannot</w:t>
      </w:r>
      <w:r>
        <w:t xml:space="preserve"> </w:t>
      </w:r>
      <w:r>
        <w:t xml:space="preserve">be reconciled at audit.</w:t>
      </w:r>
    </w:p>
    <w:bookmarkEnd w:id="29"/>
    <w:p>
      <w:pPr>
        <w:pStyle w:val="BodyText"/>
      </w:pPr>
      <w:r>
        <w:t xml:space="preserve">In the Functional Plane Model the split is clean:</w:t>
      </w:r>
      <w:r>
        <w:t xml:space="preserve"> </w:t>
      </w:r>
      <w:r>
        <w:rPr>
          <w:b/>
          <w:bCs/>
        </w:rPr>
        <w:t xml:space="preserve">actuation is an</w:t>
      </w:r>
      <w:r>
        <w:rPr>
          <w:b/>
          <w:bCs/>
        </w:rPr>
        <w:t xml:space="preserve"> </w:t>
      </w:r>
      <w:r>
        <w:rPr>
          <w:b/>
          <w:bCs/>
        </w:rPr>
        <w:t xml:space="preserve">enforcement-plane function</w:t>
      </w:r>
      <w:r>
        <w:t xml:space="preserve"> </w:t>
      </w:r>
      <w:r>
        <w:t xml:space="preserve">(per-vendor, re-platformable — plane 7);</w:t>
      </w:r>
      <w:r>
        <w:t xml:space="preserve"> </w:t>
      </w:r>
      <w:r>
        <w:rPr>
          <w:b/>
          <w:bCs/>
        </w:rPr>
        <w:t xml:space="preserve">the evidence contract is a truth-plane function</w:t>
      </w:r>
      <w:r>
        <w:t xml:space="preserve"> </w:t>
      </w:r>
      <w:r>
        <w:t xml:space="preserve">(unified, depended-on —</w:t>
      </w:r>
      <w:r>
        <w:t xml:space="preserve"> </w:t>
      </w:r>
      <w:r>
        <w:t xml:space="preserve">plane 6). Vol III Book 02 (Vulnerability Management) is the</w:t>
      </w:r>
      <w:r>
        <w:t xml:space="preserve"> </w:t>
      </w:r>
      <w:r>
        <w:rPr>
          <w:i/>
          <w:iCs/>
        </w:rPr>
        <w:t xml:space="preserve">assessment</w:t>
      </w:r>
      <w:r>
        <w:t xml:space="preserve"> </w:t>
      </w:r>
      <w:r>
        <w:t xml:space="preserve">half of this</w:t>
      </w:r>
      <w:r>
        <w:t xml:space="preserve"> </w:t>
      </w:r>
      <w:r>
        <w:t xml:space="preserve">plane — what is unpatched — and the reference implementation of the evidence</w:t>
      </w:r>
      <w:r>
        <w:t xml:space="preserve"> </w:t>
      </w:r>
      <w:r>
        <w:t xml:space="preserve">contract on the Microsoft stack; the</w:t>
      </w:r>
      <w:r>
        <w:t xml:space="preserve"> </w:t>
      </w:r>
      <w:r>
        <w:rPr>
          <w:b/>
          <w:bCs/>
        </w:rPr>
        <w:t xml:space="preserve">Patch &amp; Systems Management</w:t>
      </w:r>
      <w:r>
        <w:t xml:space="preserve"> </w:t>
      </w:r>
      <w:r>
        <w:t xml:space="preserve">book (Vol III</w:t>
      </w:r>
      <w:r>
        <w:t xml:space="preserve"> </w:t>
      </w:r>
      <w:r>
        <w:t xml:space="preserve">Book 03) generalizes the contract to every platform above and owns the</w:t>
      </w:r>
      <w:r>
        <w:t xml:space="preserve"> </w:t>
      </w:r>
      <w:r>
        <w:rPr>
          <w:i/>
          <w:iCs/>
        </w:rPr>
        <w:t xml:space="preserve">remediation</w:t>
      </w:r>
      <w:r>
        <w:t xml:space="preserve"> </w:t>
      </w:r>
      <w:r>
        <w:t xml:space="preserve">half (SI-2, SI-2(2), CM-2 / CM-6).</w:t>
      </w:r>
    </w:p>
    <w:bookmarkEnd w:id="30"/>
    <w:bookmarkStart w:id="31" w:name="theme-f-the-accreditation-substrate"/>
    <w:p>
      <w:pPr>
        <w:pStyle w:val="Heading1"/>
      </w:pPr>
      <w:r>
        <w:t xml:space="preserve">Theme F — The Accreditation Substrate</w:t>
      </w:r>
    </w:p>
    <w:p>
      <w:pPr>
        <w:pStyle w:val="FirstParagraph"/>
      </w:pPr>
      <w:r>
        <w:t xml:space="preserve">Every control this series closes is closed by a</w:t>
      </w:r>
      <w:r>
        <w:t xml:space="preserve"> </w:t>
      </w:r>
      <w:r>
        <w:rPr>
          <w:i/>
          <w:iCs/>
        </w:rPr>
        <w:t xml:space="preserve">mechanism</w:t>
      </w:r>
      <w:r>
        <w:t xml:space="preserve">; every mechanism</w:t>
      </w:r>
      <w:r>
        <w:t xml:space="preserve"> </w:t>
      </w:r>
      <w:r>
        <w:t xml:space="preserve">ships inside a</w:t>
      </w:r>
      <w:r>
        <w:t xml:space="preserve"> </w:t>
      </w:r>
      <w:r>
        <w:rPr>
          <w:i/>
          <w:iCs/>
        </w:rPr>
        <w:t xml:space="preserve">product</w:t>
      </w:r>
      <w:r>
        <w:t xml:space="preserve">; every product a federal agency buys must carry a</w:t>
      </w:r>
      <w:r>
        <w:t xml:space="preserve"> </w:t>
      </w:r>
      <w:r>
        <w:rPr>
          <w:i/>
          <w:iCs/>
        </w:rPr>
        <w:t xml:space="preserve">federal accreditation</w:t>
      </w:r>
      <w:r>
        <w:t xml:space="preserve">. The gate differs by what the product is — and the</w:t>
      </w:r>
      <w:r>
        <w:t xml:space="preserve"> </w:t>
      </w:r>
      <w:r>
        <w:t xml:space="preserve">series names the gate, not just the mechanism.</w:t>
      </w:r>
    </w:p>
    <w:p>
      <w:pPr>
        <w:pStyle w:val="TableCaption"/>
      </w:pPr>
      <w:r>
        <w:t xml:space="preserve">The Two Accreditation Gates</w:t>
      </w:r>
    </w:p>
    <w:tbl>
      <w:tblPr>
        <w:tblStyle w:val="Table"/>
        <w:tblW w:type="pct" w:w="5000"/>
        <w:tblLayout w:type="fixed"/>
        <w:tblLook w:firstRow="1" w:lastRow="0" w:firstColumn="0" w:lastColumn="0" w:noHBand="0" w:noVBand="0" w:val="0020"/>
        <w:tblCaption w:val="The Two Accreditation Gates"/>
      </w:tblPr>
      <w:tblGrid>
        <w:gridCol w:w="2640"/>
        <w:gridCol w:w="2640"/>
        <w:gridCol w:w="2640"/>
      </w:tblGrid>
      <w:tr>
        <w:trPr>
          <w:tblHeader w:val="on"/>
        </w:trPr>
        <w:tc>
          <w:tcPr/>
          <w:p>
            <w:pPr>
              <w:pStyle w:val="Compact"/>
            </w:pPr>
            <w:r>
              <w:t xml:space="preserve">Product class</w:t>
            </w:r>
          </w:p>
        </w:tc>
        <w:tc>
          <w:tcPr/>
          <w:p>
            <w:pPr>
              <w:pStyle w:val="Compact"/>
            </w:pPr>
            <w:r>
              <w:t xml:space="preserve">Accreditation gate</w:t>
            </w:r>
          </w:p>
        </w:tc>
        <w:tc>
          <w:tcPr/>
          <w:p>
            <w:pPr>
              <w:pStyle w:val="Compact"/>
            </w:pPr>
            <w:r>
              <w:t xml:space="preserve">What it certifies</w:t>
            </w:r>
          </w:p>
        </w:tc>
      </w:tr>
      <w:tr>
        <w:tc>
          <w:tcPr/>
          <w:p>
            <w:pPr>
              <w:pStyle w:val="Compact"/>
            </w:pPr>
            <w:r>
              <w:rPr>
                <w:b/>
                <w:bCs/>
              </w:rPr>
              <w:t xml:space="preserve">CSP services</w:t>
            </w:r>
            <w:r>
              <w:t xml:space="preserve"> </w:t>
            </w:r>
            <w:r>
              <w:t xml:space="preserve">(M365, Azure, AWS, OCI, VMware Cloud)</w:t>
            </w:r>
          </w:p>
        </w:tc>
        <w:tc>
          <w:tcPr/>
          <w:p>
            <w:pPr>
              <w:pStyle w:val="Compact"/>
            </w:pPr>
            <w:r>
              <w:rPr>
                <w:b/>
                <w:bCs/>
              </w:rPr>
              <w:t xml:space="preserve">FedRAMP</w:t>
            </w:r>
            <w:r>
              <w:t xml:space="preserve"> </w:t>
            </w:r>
            <w:r>
              <w:t xml:space="preserve">(Moderate, per the series scope)</w:t>
            </w:r>
          </w:p>
        </w:tc>
        <w:tc>
          <w:tcPr/>
          <w:p>
            <w:pPr>
              <w:pStyle w:val="Compact"/>
            </w:pPr>
            <w:r>
              <w:t xml:space="preserve">The service’s control implementation, assessed by a 3PAO and authorized for federal use</w:t>
            </w:r>
          </w:p>
        </w:tc>
      </w:tr>
      <w:tr>
        <w:tc>
          <w:tcPr/>
          <w:p>
            <w:pPr>
              <w:pStyle w:val="Compact"/>
            </w:pPr>
            <w:r>
              <w:rPr>
                <w:b/>
                <w:bCs/>
              </w:rPr>
              <w:t xml:space="preserve">Network &amp; endpoint gear</w:t>
            </w:r>
            <w:r>
              <w:t xml:space="preserve"> </w:t>
            </w:r>
            <w:r>
              <w:t xml:space="preserve">(firewalls, switches, SD-WAN edge, NAC)</w:t>
            </w:r>
          </w:p>
        </w:tc>
        <w:tc>
          <w:tcPr/>
          <w:p>
            <w:pPr>
              <w:pStyle w:val="Compact"/>
            </w:pPr>
            <w:r>
              <w:rPr>
                <w:b/>
                <w:bCs/>
              </w:rPr>
              <w:t xml:space="preserve">NIAP Common Criteria + DISA STIG + FIPS 140-3 + DoDIN APL</w:t>
            </w:r>
          </w:p>
        </w:tc>
        <w:tc>
          <w:tcPr/>
          <w:p>
            <w:pPr>
              <w:pStyle w:val="Compact"/>
            </w:pPr>
            <w:r>
              <w:t xml:space="preserve">The device’s evaluated configuration, hardened baseline, validated crypto module, and DoD-approved-products listing</w:t>
            </w:r>
          </w:p>
        </w:tc>
      </w:tr>
    </w:tbl>
    <w:p>
      <w:pPr>
        <w:pStyle w:val="BodyText"/>
      </w:pPr>
      <w:r>
        <w:t xml:space="preserve">The distinction matters because the two halves of a federal architecture are</w:t>
      </w:r>
      <w:r>
        <w:t xml:space="preserve"> </w:t>
      </w:r>
      <w:r>
        <w:t xml:space="preserve">accredited on</w:t>
      </w:r>
      <w:r>
        <w:t xml:space="preserve"> </w:t>
      </w:r>
      <w:r>
        <w:rPr>
          <w:b/>
          <w:bCs/>
        </w:rPr>
        <w:t xml:space="preserve">different registries with different evidence</w:t>
      </w:r>
      <w:r>
        <w:t xml:space="preserve">. A control</w:t>
      </w:r>
      <w:r>
        <w:t xml:space="preserve"> </w:t>
      </w:r>
      <w:r>
        <w:t xml:space="preserve">inherited from a FedRAMP CSP is attested from the CSP’s package; the same</w:t>
      </w:r>
      <w:r>
        <w:t xml:space="preserve"> </w:t>
      </w:r>
      <w:r>
        <w:t xml:space="preserve">control closed by an on-premises firewall at a field-office DIA edge is attested</w:t>
      </w:r>
      <w:r>
        <w:t xml:space="preserve"> </w:t>
      </w:r>
      <w:r>
        <w:t xml:space="preserve">from that appliance’s NIAP evaluation, its STIG-compliance scan, and its</w:t>
      </w:r>
      <w:r>
        <w:t xml:space="preserve"> </w:t>
      </w:r>
      <w:r>
        <w:t xml:space="preserve">FIPS 140-3 certificate — evidence the CSP package never contains. The</w:t>
      </w:r>
      <w:r>
        <w:t xml:space="preserve"> </w:t>
      </w:r>
      <w:r>
        <w:rPr>
          <w:b/>
          <w:bCs/>
        </w:rPr>
        <w:t xml:space="preserve">Network Enforcement Substrate</w:t>
      </w:r>
      <w:r>
        <w:t xml:space="preserve"> </w:t>
      </w:r>
      <w:r>
        <w:t xml:space="preserve">book (Vol I Book 07) formalizes this gate for the</w:t>
      </w:r>
      <w:r>
        <w:t xml:space="preserve"> </w:t>
      </w:r>
      <w:r>
        <w:t xml:space="preserve">customer-owned edge, and every book that closes a control names which registry</w:t>
      </w:r>
      <w:r>
        <w:t xml:space="preserve"> </w:t>
      </w:r>
      <w:r>
        <w:t xml:space="preserve">carries its evidence.</w:t>
      </w:r>
    </w:p>
    <w:p>
      <w:r>
        <w:pict>
          <v:rect style="width:0;height:1.5pt" o:hralign="center" o:hrstd="t" o:hr="t"/>
        </w:pict>
      </w:r>
    </w:p>
    <w:bookmarkEnd w:id="31"/>
    <w:bookmarkStart w:id="38" w:name="X61a7a87a6a804b656956b0680aba9e198648b99"/>
    <w:p>
      <w:pPr>
        <w:pStyle w:val="Heading1"/>
      </w:pPr>
      <w:r>
        <w:t xml:space="preserve">Why This Series — Not SCuBA, ZTTT, or Any Single-Vendor Assessment Tool</w:t>
      </w:r>
    </w:p>
    <w:p>
      <w:pPr>
        <w:pStyle w:val="FirstParagraph"/>
      </w:pPr>
      <w:r>
        <w:t xml:space="preserve">Federal agencies frequently receive guidance to run CISA’s SCuBA (Secure Cloud</w:t>
      </w:r>
      <w:r>
        <w:t xml:space="preserve"> </w:t>
      </w:r>
      <w:r>
        <w:t xml:space="preserve">Business Applications) toolkit, Microsoft’s Zero Trust Transformation Toolkit</w:t>
      </w:r>
      <w:r>
        <w:t xml:space="preserve"> </w:t>
      </w:r>
      <w:r>
        <w:t xml:space="preserve">(ZTTT), or similar automated assessment tools as their compliance answer. These</w:t>
      </w:r>
      <w:r>
        <w:t xml:space="preserve"> </w:t>
      </w:r>
      <w:r>
        <w:t xml:space="preserve">tools are valuable — but they answer the wrong question if used before the</w:t>
      </w:r>
      <w:r>
        <w:t xml:space="preserve"> </w:t>
      </w:r>
      <w:r>
        <w:t xml:space="preserve">architectural work is done.</w:t>
      </w:r>
    </w:p>
    <w:bookmarkStart w:id="32" w:name="what-assessment-tools-actually-do"/>
    <w:p>
      <w:pPr>
        <w:pStyle w:val="Heading2"/>
      </w:pPr>
      <w:r>
        <w:t xml:space="preserve">What Assessment Tools Actually Do</w:t>
      </w:r>
    </w:p>
    <w:p>
      <w:pPr>
        <w:pStyle w:val="FirstParagraph"/>
      </w:pPr>
      <w:r>
        <w:t xml:space="preserve">ScubaGear, ZTTT, Microsoft Secure Score, the Purview Compliance Portal, and the</w:t>
      </w:r>
      <w:r>
        <w:t xml:space="preserve"> </w:t>
      </w:r>
      <w:r>
        <w:t xml:space="preserve">CISA Zero Trust Maturity Model (ZTMM) self-assessment are all</w:t>
      </w:r>
      <w:r>
        <w:t xml:space="preserve"> </w:t>
      </w:r>
      <w:r>
        <w:rPr>
          <w:b/>
          <w:bCs/>
        </w:rPr>
        <w:t xml:space="preserve">diagnostic</w:t>
      </w:r>
      <w:r>
        <w:rPr>
          <w:b/>
          <w:bCs/>
        </w:rPr>
        <w:t xml:space="preserve"> </w:t>
      </w:r>
      <w:r>
        <w:rPr>
          <w:b/>
          <w:bCs/>
        </w:rPr>
        <w:t xml:space="preserve">instruments</w:t>
      </w:r>
      <w:r>
        <w:t xml:space="preserve">. They measure the current configuration state of your environment</w:t>
      </w:r>
      <w:r>
        <w:t xml:space="preserve"> </w:t>
      </w:r>
      <w:r>
        <w:t xml:space="preserve">against a defined baseline. That is precisely what they should do — and they do</w:t>
      </w:r>
      <w:r>
        <w:t xml:space="preserve"> </w:t>
      </w:r>
      <w:r>
        <w:t xml:space="preserve">it well.</w:t>
      </w:r>
    </w:p>
    <w:p>
      <w:pPr>
        <w:pStyle w:val="BodyText"/>
      </w:pPr>
      <w:r>
        <w:t xml:space="preserve">What they do not do:</w:t>
      </w:r>
    </w:p>
    <w:p>
      <w:pPr>
        <w:pStyle w:val="Compact"/>
        <w:numPr>
          <w:ilvl w:val="0"/>
          <w:numId w:val="1013"/>
        </w:numPr>
      </w:pPr>
      <w:r>
        <w:rPr>
          <w:b/>
          <w:bCs/>
        </w:rPr>
        <w:t xml:space="preserve">Design your network architecture.</w:t>
      </w:r>
      <w:r>
        <w:t xml:space="preserve"> </w:t>
      </w:r>
      <w:r>
        <w:t xml:space="preserve">ScubaGear can tell you that DNSSEC is</w:t>
      </w:r>
      <w:r>
        <w:t xml:space="preserve"> </w:t>
      </w:r>
      <w:r>
        <w:t xml:space="preserve">not enabled. It cannot design the DDI/IPAM grid that makes DNSSEC enforceable</w:t>
      </w:r>
      <w:r>
        <w:t xml:space="preserve"> </w:t>
      </w:r>
      <w:r>
        <w:t xml:space="preserve">across four environments simultaneously.</w:t>
      </w:r>
    </w:p>
    <w:p>
      <w:pPr>
        <w:pStyle w:val="Compact"/>
        <w:numPr>
          <w:ilvl w:val="0"/>
          <w:numId w:val="1013"/>
        </w:numPr>
      </w:pPr>
      <w:r>
        <w:rPr>
          <w:b/>
          <w:bCs/>
        </w:rPr>
        <w:t xml:space="preserve">Prescribe your identity integration path.</w:t>
      </w:r>
      <w:r>
        <w:t xml:space="preserve"> </w:t>
      </w:r>
      <w:r>
        <w:t xml:space="preserve">ZTTT can score your</w:t>
      </w:r>
      <w:r>
        <w:t xml:space="preserve"> </w:t>
      </w:r>
      <w:r>
        <w:t xml:space="preserve">Zero Trust maturity at</w:t>
      </w:r>
      <w:r>
        <w:t xml:space="preserve"> </w:t>
      </w:r>
      <w:r>
        <w:t xml:space="preserve">“Traditional.”</w:t>
      </w:r>
      <w:r>
        <w:t xml:space="preserve"> </w:t>
      </w:r>
      <w:r>
        <w:t xml:space="preserve">It cannot design the Entra ID</w:t>
      </w:r>
      <w:r>
        <w:t xml:space="preserve"> </w:t>
      </w:r>
      <w:r>
        <w:t xml:space="preserve">Conditional Access policy set, NTLM elimination sequence, and Arc Managed</w:t>
      </w:r>
      <w:r>
        <w:t xml:space="preserve"> </w:t>
      </w:r>
      <w:r>
        <w:t xml:space="preserve">Identity chain that moves you to</w:t>
      </w:r>
      <w:r>
        <w:t xml:space="preserve"> </w:t>
      </w:r>
      <w:r>
        <w:t xml:space="preserve">“Advanced.”</w:t>
      </w:r>
    </w:p>
    <w:p>
      <w:pPr>
        <w:pStyle w:val="Compact"/>
        <w:numPr>
          <w:ilvl w:val="0"/>
          <w:numId w:val="1013"/>
        </w:numPr>
      </w:pPr>
      <w:r>
        <w:rPr>
          <w:b/>
          <w:bCs/>
        </w:rPr>
        <w:t xml:space="preserve">Solve cross-domain physics constraints.</w:t>
      </w:r>
      <w:r>
        <w:t xml:space="preserve"> </w:t>
      </w:r>
      <w:r>
        <w:t xml:space="preserve">No assessment tool identifies that</w:t>
      </w:r>
      <w:r>
        <w:t xml:space="preserve"> </w:t>
      </w:r>
      <w:r>
        <w:t xml:space="preserve">your SQL consolidation plan will violate G.114 one-way delay bounds or that</w:t>
      </w:r>
      <w:r>
        <w:t xml:space="preserve"> </w:t>
      </w:r>
      <w:r>
        <w:t xml:space="preserve">your SD-WAN traffic class configuration is inconsistent with your database</w:t>
      </w:r>
      <w:r>
        <w:t xml:space="preserve"> </w:t>
      </w:r>
      <w:r>
        <w:t xml:space="preserve">replication consistency model.</w:t>
      </w:r>
    </w:p>
    <w:p>
      <w:pPr>
        <w:pStyle w:val="Compact"/>
        <w:numPr>
          <w:ilvl w:val="0"/>
          <w:numId w:val="1013"/>
        </w:numPr>
      </w:pPr>
      <w:r>
        <w:rPr>
          <w:b/>
          <w:bCs/>
        </w:rPr>
        <w:t xml:space="preserve">Close controls at the infrastructure layer.</w:t>
      </w:r>
      <w:r>
        <w:t xml:space="preserve"> </w:t>
      </w:r>
      <w:r>
        <w:t xml:space="preserve">Compliance portals report</w:t>
      </w:r>
      <w:r>
        <w:t xml:space="preserve"> </w:t>
      </w:r>
      <w:r>
        <w:t xml:space="preserve">open controls. They do not architect the InfoBlox RPZ enforcement, SASE</w:t>
      </w:r>
      <w:r>
        <w:t xml:space="preserve"> </w:t>
      </w:r>
      <w:r>
        <w:t xml:space="preserve">CASB inline inspection, or Sentinel KQL detection pipeline that closes them</w:t>
      </w:r>
      <w:r>
        <w:t xml:space="preserve"> </w:t>
      </w:r>
      <w:r>
        <w:t xml:space="preserve">with machine-readable, continuously-updated evidence.</w:t>
      </w:r>
    </w:p>
    <w:p>
      <w:pPr>
        <w:pStyle w:val="FirstParagraph"/>
      </w:pPr>
      <w:r>
        <w:t xml:space="preserve">In short:</w:t>
      </w:r>
      <w:r>
        <w:t xml:space="preserve"> </w:t>
      </w:r>
      <w:r>
        <w:rPr>
          <w:b/>
          <w:bCs/>
        </w:rPr>
        <w:t xml:space="preserve">assessment tools tell you your blood pressure. They do not design</w:t>
      </w:r>
      <w:r>
        <w:rPr>
          <w:b/>
          <w:bCs/>
        </w:rPr>
        <w:t xml:space="preserve"> </w:t>
      </w:r>
      <w:r>
        <w:rPr>
          <w:b/>
          <w:bCs/>
        </w:rPr>
        <w:t xml:space="preserve">your cardiovascular system.</w:t>
      </w:r>
    </w:p>
    <w:bookmarkEnd w:id="32"/>
    <w:bookmarkStart w:id="33" w:name="the-correct-sequencing"/>
    <w:p>
      <w:pPr>
        <w:pStyle w:val="Heading2"/>
      </w:pPr>
      <w:r>
        <w:t xml:space="preserve">The Correct Sequencing</w:t>
      </w:r>
    </w:p>
    <w:p>
      <w:pPr>
        <w:pStyle w:val="FirstParagraph"/>
      </w:pPr>
      <w:r>
        <w:t xml:space="preserve">Agencies that run SCuBA or ZTTT before their architecture is designed are</w:t>
      </w:r>
      <w:r>
        <w:t xml:space="preserve"> </w:t>
      </w:r>
      <w:r>
        <w:t xml:space="preserve">reading a thermometer before the treatment plan exists. The findings are</w:t>
      </w:r>
      <w:r>
        <w:t xml:space="preserve"> </w:t>
      </w:r>
      <w:r>
        <w:t xml:space="preserve">accurate, but there is no framework to act on them coherently. The result is</w:t>
      </w:r>
      <w:r>
        <w:t xml:space="preserve"> </w:t>
      </w:r>
      <w:r>
        <w:t xml:space="preserve">a list of open controls addressed piecemeal — individual configuration fixes</w:t>
      </w:r>
      <w:r>
        <w:t xml:space="preserve"> </w:t>
      </w:r>
      <w:r>
        <w:t xml:space="preserve">that do not accumulate into a defensible, integrated compliance posture.</w:t>
      </w:r>
    </w:p>
    <w:p>
      <w:pPr>
        <w:pStyle w:val="BodyText"/>
      </w:pPr>
      <w:r>
        <w:t xml:space="preserve">The correct sequence is:</w:t>
      </w:r>
    </w:p>
    <w:p>
      <w:pPr>
        <w:pStyle w:val="TableCaption"/>
      </w:pPr>
      <w:r>
        <w:t xml:space="preserve">Compliance Modernization Sequence — Architecture Before Assessment</w:t>
      </w:r>
    </w:p>
    <w:tbl>
      <w:tblPr>
        <w:tblStyle w:val="Table"/>
        <w:tblW w:type="pct" w:w="5000"/>
        <w:tblLayout w:type="fixed"/>
        <w:tblLook w:firstRow="1" w:lastRow="0" w:firstColumn="0" w:lastColumn="0" w:noHBand="0" w:noVBand="0" w:val="0020"/>
        <w:tblCaption w:val="Compliance Modernization Sequence — Architecture Before Assessment"/>
      </w:tblPr>
      <w:tblGrid>
        <w:gridCol w:w="2132"/>
        <w:gridCol w:w="3046"/>
        <w:gridCol w:w="2741"/>
      </w:tblGrid>
      <w:tr>
        <w:trPr>
          <w:tblHeader w:val="on"/>
        </w:trPr>
        <w:tc>
          <w:tcPr/>
          <w:p>
            <w:pPr>
              <w:pStyle w:val="Compact"/>
            </w:pPr>
            <w:r>
              <w:t xml:space="preserve">Phase</w:t>
            </w:r>
          </w:p>
        </w:tc>
        <w:tc>
          <w:tcPr/>
          <w:p>
            <w:pPr>
              <w:pStyle w:val="Compact"/>
            </w:pPr>
            <w:r>
              <w:t xml:space="preserve">Activity</w:t>
            </w:r>
          </w:p>
        </w:tc>
        <w:tc>
          <w:tcPr/>
          <w:p>
            <w:pPr>
              <w:pStyle w:val="Compact"/>
            </w:pPr>
            <w:r>
              <w:t xml:space="preserve">Tooling</w:t>
            </w:r>
          </w:p>
        </w:tc>
      </w:tr>
      <w:tr>
        <w:tc>
          <w:tcPr/>
          <w:p>
            <w:pPr>
              <w:pStyle w:val="Compact"/>
            </w:pPr>
            <w:r>
              <w:rPr>
                <w:b/>
                <w:bCs/>
              </w:rPr>
              <w:t xml:space="preserve">1 — Understand</w:t>
            </w:r>
          </w:p>
        </w:tc>
        <w:tc>
          <w:tcPr/>
          <w:p>
            <w:pPr>
              <w:pStyle w:val="Compact"/>
            </w:pPr>
            <w:r>
              <w:t xml:space="preserve">Identify control gaps and their architectural root causes</w:t>
            </w:r>
          </w:p>
        </w:tc>
        <w:tc>
          <w:tcPr/>
          <w:p>
            <w:pPr>
              <w:pStyle w:val="Compact"/>
            </w:pPr>
            <w:r>
              <w:t xml:space="preserve">This series — Vol 0 Book 00 through Vol IV Book 04</w:t>
            </w:r>
          </w:p>
        </w:tc>
      </w:tr>
      <w:tr>
        <w:tc>
          <w:tcPr/>
          <w:p>
            <w:pPr>
              <w:pStyle w:val="Compact"/>
            </w:pPr>
            <w:r>
              <w:rPr>
                <w:b/>
                <w:bCs/>
              </w:rPr>
              <w:t xml:space="preserve">2 — Design</w:t>
            </w:r>
          </w:p>
        </w:tc>
        <w:tc>
          <w:tcPr/>
          <w:p>
            <w:pPr>
              <w:pStyle w:val="Compact"/>
            </w:pPr>
            <w:r>
              <w:t xml:space="preserve">Select the architectural pattern that closes each gap with continuous evidence</w:t>
            </w:r>
          </w:p>
        </w:tc>
        <w:tc>
          <w:tcPr/>
          <w:p>
            <w:pPr>
              <w:pStyle w:val="Compact"/>
            </w:pPr>
            <w:r>
              <w:t xml:space="preserve">This series — domain books across Vols I–IV</w:t>
            </w:r>
          </w:p>
        </w:tc>
      </w:tr>
      <w:tr>
        <w:tc>
          <w:tcPr/>
          <w:p>
            <w:pPr>
              <w:pStyle w:val="Compact"/>
            </w:pPr>
            <w:r>
              <w:rPr>
                <w:b/>
                <w:bCs/>
              </w:rPr>
              <w:t xml:space="preserve">3 — Implement</w:t>
            </w:r>
          </w:p>
        </w:tc>
        <w:tc>
          <w:tcPr/>
          <w:p>
            <w:pPr>
              <w:pStyle w:val="Compact"/>
            </w:pPr>
            <w:r>
              <w:t xml:space="preserve">Execute the runbooks, deploy the infrastructure, configure the integrations</w:t>
            </w:r>
          </w:p>
        </w:tc>
        <w:tc>
          <w:tcPr/>
          <w:p>
            <w:pPr>
              <w:pStyle w:val="Compact"/>
            </w:pPr>
            <w:r>
              <w:t xml:space="preserve">This series — Vol II Book 02 (SQL), domain books</w:t>
            </w:r>
          </w:p>
        </w:tc>
      </w:tr>
      <w:tr>
        <w:tc>
          <w:tcPr/>
          <w:p>
            <w:pPr>
              <w:pStyle w:val="Compact"/>
            </w:pPr>
            <w:r>
              <w:rPr>
                <w:b/>
                <w:bCs/>
              </w:rPr>
              <w:t xml:space="preserve">4 — Govern</w:t>
            </w:r>
          </w:p>
        </w:tc>
        <w:tc>
          <w:tcPr/>
          <w:p>
            <w:pPr>
              <w:pStyle w:val="Compact"/>
            </w:pPr>
            <w:r>
              <w:t xml:space="preserve">Establish SCRM, POA&amp;M, ISPP, and RACI structures</w:t>
            </w:r>
          </w:p>
        </w:tc>
        <w:tc>
          <w:tcPr/>
          <w:p>
            <w:pPr>
              <w:pStyle w:val="Compact"/>
            </w:pPr>
            <w:r>
              <w:t xml:space="preserve">This series — Vol IV Books 02–04</w:t>
            </w:r>
          </w:p>
        </w:tc>
      </w:tr>
      <w:tr>
        <w:tc>
          <w:tcPr/>
          <w:p>
            <w:pPr>
              <w:pStyle w:val="Compact"/>
            </w:pPr>
            <w:r>
              <w:rPr>
                <w:b/>
                <w:bCs/>
              </w:rPr>
              <w:t xml:space="preserve">5 — Validate</w:t>
            </w:r>
          </w:p>
        </w:tc>
        <w:tc>
          <w:tcPr/>
          <w:p>
            <w:pPr>
              <w:pStyle w:val="Compact"/>
            </w:pPr>
            <w:r>
              <w:t xml:space="preserve">Run SCuBA, ZTTT, Secure Score — now as a confirmation, not a discovery exercise</w:t>
            </w:r>
          </w:p>
        </w:tc>
        <w:tc>
          <w:tcPr/>
          <w:p>
            <w:pPr>
              <w:pStyle w:val="Compact"/>
            </w:pPr>
            <w:r>
              <w:t xml:space="preserve">SCuBA · ZTTT · Microsoft Secure Score</w:t>
            </w:r>
          </w:p>
        </w:tc>
      </w:tr>
      <w:tr>
        <w:tc>
          <w:tcPr/>
          <w:p>
            <w:pPr>
              <w:pStyle w:val="Compact"/>
            </w:pPr>
            <w:r>
              <w:rPr>
                <w:b/>
                <w:bCs/>
              </w:rPr>
              <w:t xml:space="preserve">6 — Authorize</w:t>
            </w:r>
          </w:p>
        </w:tc>
        <w:tc>
          <w:tcPr/>
          <w:p>
            <w:pPr>
              <w:pStyle w:val="Compact"/>
            </w:pPr>
            <w:r>
              <w:t xml:space="preserve">Submit KSI-ready machine-readable evidence to FedRAMP 20x evaluators</w:t>
            </w:r>
          </w:p>
        </w:tc>
        <w:tc>
          <w:tcPr/>
          <w:p>
            <w:pPr>
              <w:pStyle w:val="Compact"/>
            </w:pPr>
            <w:r>
              <w:t xml:space="preserve">OSCAL AP/AR/POAM bundle</w:t>
            </w:r>
          </w:p>
        </w:tc>
      </w:tr>
    </w:tbl>
    <w:p>
      <w:pPr>
        <w:pStyle w:val="BodyText"/>
      </w:pPr>
      <w:r>
        <w:t xml:space="preserve">When you reach Phase 5, ScubaGear should return a near-clean baseline report</w:t>
      </w:r>
      <w:r>
        <w:t xml:space="preserve"> </w:t>
      </w:r>
      <w:r>
        <w:t xml:space="preserve">— not because you configured individual settings to pass the scan, but because</w:t>
      </w:r>
      <w:r>
        <w:t xml:space="preserve"> </w:t>
      </w:r>
      <w:r>
        <w:t xml:space="preserve">the underlying architecture produces compliant configuration as its natural</w:t>
      </w:r>
      <w:r>
        <w:t xml:space="preserve"> </w:t>
      </w:r>
      <w:r>
        <w:t xml:space="preserve">steady state. Sentinel detects automatically. Entra tokens log natively.</w:t>
      </w:r>
      <w:r>
        <w:t xml:space="preserve"> </w:t>
      </w:r>
      <w:r>
        <w:t xml:space="preserve">InfoBlox IPAM inventories continuously. SCRM artifacts update on every pipeline</w:t>
      </w:r>
      <w:r>
        <w:t xml:space="preserve"> </w:t>
      </w:r>
      <w:r>
        <w:t xml:space="preserve">run. The assessment tool confirms what the architecture already guarantees.</w:t>
      </w:r>
    </w:p>
    <w:bookmarkEnd w:id="33"/>
    <w:bookmarkStart w:id="34" w:name="Xbeccda7f0395df87220c304250d30fffcfba132"/>
    <w:p>
      <w:pPr>
        <w:pStyle w:val="Heading2"/>
      </w:pPr>
      <w:r>
        <w:t xml:space="preserve">Why Single-Vendor Tools Cannot Replace an Architectural Roadmap</w:t>
      </w:r>
    </w:p>
    <w:p>
      <w:pPr>
        <w:pStyle w:val="FirstParagraph"/>
      </w:pPr>
      <w:r>
        <w:t xml:space="preserve">Both SCuBA and ZTTT are optimized for their vendor’s product surface. ScubaGear</w:t>
      </w:r>
      <w:r>
        <w:t xml:space="preserve"> </w:t>
      </w:r>
      <w:r>
        <w:t xml:space="preserve">audits Microsoft 365 GCC tenant configuration — Exchange, Teams, SharePoint,</w:t>
      </w:r>
      <w:r>
        <w:t xml:space="preserve"> </w:t>
      </w:r>
      <w:r>
        <w:t xml:space="preserve">Entra, Defender. ZTTT assesses your position within Microsoft’s Zero Trust</w:t>
      </w:r>
      <w:r>
        <w:t xml:space="preserve"> </w:t>
      </w:r>
      <w:r>
        <w:t xml:space="preserve">model. These are the right tools for those surfaces.</w:t>
      </w:r>
    </w:p>
    <w:bookmarkEnd w:id="34"/>
    <w:bookmarkStart w:id="35" w:name="vendor-selection-status"/>
    <w:p>
      <w:pPr>
        <w:pStyle w:val="Heading2"/>
      </w:pPr>
      <w:r>
        <w:t xml:space="preserve">Vendor Selection Status</w:t>
      </w:r>
    </w:p>
    <w:p>
      <w:pPr>
        <w:pStyle w:val="FirstParagraph"/>
      </w:pPr>
      <w:r>
        <w:t xml:space="preserve">SD-WAN and SASE SSE vendor selections are pending agency procurement review. The shortlists in this series reflect FedRAMP authorization status and federal use-case alignment at time of writing. Final selection requires validation against current FedRAMP Marketplace listings, agency-specific environment testing, and applicable procurement authority. All KSI self-assessments are self-assessed pending independent security control assessment (SCA).</w:t>
      </w:r>
    </w:p>
    <w:bookmarkEnd w:id="35"/>
    <w:p>
      <w:pPr>
        <w:pStyle w:val="BodyText"/>
      </w:pPr>
      <w:r>
        <w:t xml:space="preserve">Federal compliance, however, does not live on a single vendor’s surface. The</w:t>
      </w:r>
      <w:r>
        <w:t xml:space="preserve"> </w:t>
      </w:r>
      <w:r>
        <w:t xml:space="preserve">34 NIST SP 800-53 controls closed by this series span:</w:t>
      </w:r>
    </w:p>
    <w:p>
      <w:pPr>
        <w:pStyle w:val="Compact"/>
        <w:numPr>
          <w:ilvl w:val="0"/>
          <w:numId w:val="1014"/>
        </w:numPr>
      </w:pPr>
      <w:r>
        <w:rPr>
          <w:b/>
          <w:bCs/>
        </w:rPr>
        <w:t xml:space="preserve">Network layer</w:t>
      </w:r>
      <w:r>
        <w:t xml:space="preserve"> </w:t>
      </w:r>
      <w:r>
        <w:t xml:space="preserve">— DDI, DNS, DHCP, IPAM, DNSSEC, RPZ (InfoBlox)</w:t>
      </w:r>
    </w:p>
    <w:p>
      <w:pPr>
        <w:pStyle w:val="Compact"/>
        <w:numPr>
          <w:ilvl w:val="0"/>
          <w:numId w:val="1014"/>
        </w:numPr>
      </w:pPr>
      <w:r>
        <w:rPr>
          <w:b/>
          <w:bCs/>
        </w:rPr>
        <w:t xml:space="preserve">Transport layer</w:t>
      </w:r>
      <w:r>
        <w:t xml:space="preserve"> </w:t>
      </w:r>
      <w:r>
        <w:t xml:space="preserve">— SD-WAN IPsec overlay, QoS traffic classification, DIA local breakout path selection (Cisco Catalyst SD-WAN / VMware VeloCloud (Broadcom) / Palo Alto SD-WAN —</w:t>
      </w:r>
      <w:r>
        <w:t xml:space="preserve"> </w:t>
      </w:r>
      <w:r>
        <w:rPr>
          <w:i/>
          <w:iCs/>
        </w:rPr>
        <w:t xml:space="preserve">agency selection pending</w:t>
      </w:r>
      <w:r>
        <w:t xml:space="preserve">)</w:t>
      </w:r>
    </w:p>
    <w:p>
      <w:pPr>
        <w:pStyle w:val="Compact"/>
        <w:numPr>
          <w:ilvl w:val="0"/>
          <w:numId w:val="1014"/>
        </w:numPr>
      </w:pPr>
      <w:r>
        <w:rPr>
          <w:b/>
          <w:bCs/>
        </w:rPr>
        <w:t xml:space="preserve">Application layer</w:t>
      </w:r>
      <w:r>
        <w:t xml:space="preserve"> </w:t>
      </w:r>
      <w:r>
        <w:t xml:space="preserve">— CASB inline inspection, SWG, FWaaS, SSL/TLS inspection — delivered by the SASE SSE stack (Zscaler Internet Access (ZIA) / Netskope SSE / Palo Alto Prisma Access —</w:t>
      </w:r>
      <w:r>
        <w:t xml:space="preserve"> </w:t>
      </w:r>
      <w:r>
        <w:rPr>
          <w:i/>
          <w:iCs/>
        </w:rPr>
        <w:t xml:space="preserve">agency selection pending</w:t>
      </w:r>
      <w:r>
        <w:t xml:space="preserve">)</w:t>
      </w:r>
    </w:p>
    <w:p>
      <w:pPr>
        <w:pStyle w:val="Compact"/>
        <w:numPr>
          <w:ilvl w:val="0"/>
          <w:numId w:val="1014"/>
        </w:numPr>
      </w:pPr>
      <w:r>
        <w:rPr>
          <w:b/>
          <w:bCs/>
        </w:rPr>
        <w:t xml:space="preserve">Identity layer</w:t>
      </w:r>
      <w:r>
        <w:t xml:space="preserve"> </w:t>
      </w:r>
      <w:r>
        <w:t xml:space="preserve">— Entra ID, Conditional Access, Arc Managed Identity, NTLM elimination</w:t>
      </w:r>
    </w:p>
    <w:p>
      <w:pPr>
        <w:pStyle w:val="Compact"/>
        <w:numPr>
          <w:ilvl w:val="0"/>
          <w:numId w:val="1014"/>
        </w:numPr>
      </w:pPr>
      <w:r>
        <w:rPr>
          <w:b/>
          <w:bCs/>
        </w:rPr>
        <w:t xml:space="preserve">Data layer</w:t>
      </w:r>
      <w:r>
        <w:t xml:space="preserve"> </w:t>
      </w:r>
      <w:r>
        <w:t xml:space="preserve">— SQL Server, TDE, consistency classes, replication physics</w:t>
      </w:r>
    </w:p>
    <w:p>
      <w:pPr>
        <w:pStyle w:val="Compact"/>
        <w:numPr>
          <w:ilvl w:val="0"/>
          <w:numId w:val="1014"/>
        </w:numPr>
      </w:pPr>
      <w:r>
        <w:rPr>
          <w:b/>
          <w:bCs/>
        </w:rPr>
        <w:t xml:space="preserve">Operations layer</w:t>
      </w:r>
      <w:r>
        <w:t xml:space="preserve"> </w:t>
      </w:r>
      <w:r>
        <w:t xml:space="preserve">— Sentinel, Defender XDR, KQL, Logic App playbooks</w:t>
      </w:r>
    </w:p>
    <w:p>
      <w:pPr>
        <w:pStyle w:val="Compact"/>
        <w:numPr>
          <w:ilvl w:val="0"/>
          <w:numId w:val="1014"/>
        </w:numPr>
      </w:pPr>
      <w:r>
        <w:rPr>
          <w:b/>
          <w:bCs/>
        </w:rPr>
        <w:t xml:space="preserve">Governance layer</w:t>
      </w:r>
      <w:r>
        <w:t xml:space="preserve"> </w:t>
      </w:r>
      <w:r>
        <w:t xml:space="preserve">— POA&amp;M, SCRM Charter, ISPP, RACI, SBOM/VDR pipeline</w:t>
      </w:r>
    </w:p>
    <w:p>
      <w:pPr>
        <w:pStyle w:val="FirstParagraph"/>
      </w:pPr>
      <w:r>
        <w:t xml:space="preserve">No single-vendor assessment tool spans all seven layers. A tool optimized for</w:t>
      </w:r>
      <w:r>
        <w:t xml:space="preserve"> </w:t>
      </w:r>
      <w:r>
        <w:t xml:space="preserve">Layer 7 (Microsoft 365) will not score your Layer 3 DNSSEC posture, your</w:t>
      </w:r>
      <w:r>
        <w:t xml:space="preserve"> </w:t>
      </w:r>
      <w:r>
        <w:t xml:space="preserve">Layer 4 SD-WAN encryption state, or your database consolidation physics model.</w:t>
      </w:r>
    </w:p>
    <w:p>
      <w:pPr>
        <w:pStyle w:val="BodyText"/>
      </w:pPr>
      <w:r>
        <w:rPr>
          <w:b/>
          <w:bCs/>
        </w:rPr>
        <w:t xml:space="preserve">An agency that relies solely on SCuBA or ZTTT has assessed one part of the</w:t>
      </w:r>
      <w:r>
        <w:rPr>
          <w:b/>
          <w:bCs/>
        </w:rPr>
        <w:t xml:space="preserve"> </w:t>
      </w:r>
      <w:r>
        <w:rPr>
          <w:b/>
          <w:bCs/>
        </w:rPr>
        <w:t xml:space="preserve">surface and left the rest unmeasured and undefended.</w:t>
      </w:r>
    </w:p>
    <w:bookmarkStart w:id="36" w:name="the-role-of-this-series"/>
    <w:p>
      <w:pPr>
        <w:pStyle w:val="Heading2"/>
      </w:pPr>
      <w:r>
        <w:t xml:space="preserve">The Role of This Series</w:t>
      </w:r>
    </w:p>
    <w:p>
      <w:pPr>
        <w:pStyle w:val="FirstParagraph"/>
      </w:pPr>
      <w:r>
        <w:t xml:space="preserve">This series is the architectural planning and implementation layer that makes</w:t>
      </w:r>
      <w:r>
        <w:t xml:space="preserve"> </w:t>
      </w:r>
      <w:r>
        <w:t xml:space="preserve">assessment tools meaningful. It answers:</w:t>
      </w:r>
    </w:p>
    <w:p>
      <w:pPr>
        <w:pStyle w:val="Compact"/>
        <w:numPr>
          <w:ilvl w:val="0"/>
          <w:numId w:val="1015"/>
        </w:numPr>
      </w:pPr>
      <w:r>
        <w:rPr>
          <w:b/>
          <w:bCs/>
        </w:rPr>
        <w:t xml:space="preserve">Why</w:t>
      </w:r>
      <w:r>
        <w:t xml:space="preserve"> </w:t>
      </w:r>
      <w:r>
        <w:t xml:space="preserve">the current architecture cannot satisfy the controls — not as a</w:t>
      </w:r>
      <w:r>
        <w:t xml:space="preserve"> </w:t>
      </w:r>
      <w:r>
        <w:t xml:space="preserve">configuration problem, but as a structural mismatch between the perimeter</w:t>
      </w:r>
      <w:r>
        <w:t xml:space="preserve"> </w:t>
      </w:r>
      <w:r>
        <w:t xml:space="preserve">model and the Zero Trust control requirements</w:t>
      </w:r>
    </w:p>
    <w:p>
      <w:pPr>
        <w:pStyle w:val="Compact"/>
        <w:numPr>
          <w:ilvl w:val="0"/>
          <w:numId w:val="1015"/>
        </w:numPr>
      </w:pPr>
      <w:r>
        <w:rPr>
          <w:b/>
          <w:bCs/>
        </w:rPr>
        <w:t xml:space="preserve">What</w:t>
      </w:r>
      <w:r>
        <w:t xml:space="preserve"> </w:t>
      </w:r>
      <w:r>
        <w:t xml:space="preserve">architectural patterns close each control family with continuously-</w:t>
      </w:r>
      <w:r>
        <w:t xml:space="preserve"> </w:t>
      </w:r>
      <w:r>
        <w:t xml:space="preserve">generated, machine-readable evidence</w:t>
      </w:r>
    </w:p>
    <w:p>
      <w:pPr>
        <w:pStyle w:val="Compact"/>
        <w:numPr>
          <w:ilvl w:val="0"/>
          <w:numId w:val="1015"/>
        </w:numPr>
      </w:pPr>
      <w:r>
        <w:rPr>
          <w:b/>
          <w:bCs/>
        </w:rPr>
        <w:t xml:space="preserve">How</w:t>
      </w:r>
      <w:r>
        <w:t xml:space="preserve"> </w:t>
      </w:r>
      <w:r>
        <w:t xml:space="preserve">to sequence the implementation across the network, identity, data,</w:t>
      </w:r>
      <w:r>
        <w:t xml:space="preserve"> </w:t>
      </w:r>
      <w:r>
        <w:t xml:space="preserve">operations, and governance planes without creating new gaps in the process</w:t>
      </w:r>
    </w:p>
    <w:p>
      <w:pPr>
        <w:pStyle w:val="Compact"/>
        <w:numPr>
          <w:ilvl w:val="0"/>
          <w:numId w:val="1015"/>
        </w:numPr>
      </w:pPr>
      <w:r>
        <w:rPr>
          <w:b/>
          <w:bCs/>
        </w:rPr>
        <w:t xml:space="preserve">When</w:t>
      </w:r>
      <w:r>
        <w:t xml:space="preserve"> </w:t>
      </w:r>
      <w:r>
        <w:t xml:space="preserve">the KSI evidence becomes evaluable under FedRAMP 20x rules</w:t>
      </w:r>
      <w:r>
        <w:t xml:space="preserve"> </w:t>
      </w:r>
      <w:r>
        <w:t xml:space="preserve">(BOD 26-04 deadlines, Class A/B/C authorization windows)</w:t>
      </w:r>
    </w:p>
    <w:p>
      <w:pPr>
        <w:pStyle w:val="FirstParagraph"/>
      </w:pPr>
      <w:r>
        <w:t xml:space="preserve">When this series is implemented, ScubaGear and ZTTT become the final</w:t>
      </w:r>
      <w:r>
        <w:t xml:space="preserve"> </w:t>
      </w:r>
      <w:r>
        <w:t xml:space="preserve">confirmation step — a validation that the architecture is producing the</w:t>
      </w:r>
      <w:r>
        <w:t xml:space="preserve"> </w:t>
      </w:r>
      <w:r>
        <w:t xml:space="preserve">compliance state it was designed to produce. That is the correct role for</w:t>
      </w:r>
      <w:r>
        <w:t xml:space="preserve"> </w:t>
      </w:r>
      <w:r>
        <w:t xml:space="preserve">assessment tools:</w:t>
      </w:r>
      <w:r>
        <w:t xml:space="preserve"> </w:t>
      </w:r>
      <w:r>
        <w:rPr>
          <w:b/>
          <w:bCs/>
        </w:rPr>
        <w:t xml:space="preserve">the final proof, not the starting point.</w:t>
      </w:r>
    </w:p>
    <w:bookmarkEnd w:id="36"/>
    <w:bookmarkStart w:id="37" w:name="the-coverage-arithmetic-10-of-29"/>
    <w:p>
      <w:pPr>
        <w:pStyle w:val="Heading2"/>
      </w:pPr>
      <w:r>
        <w:t xml:space="preserve">The Coverage Arithmetic — 10 of 29</w:t>
      </w:r>
    </w:p>
    <w:p>
      <w:pPr>
        <w:pStyle w:val="FirstParagraph"/>
      </w:pPr>
      <w:r>
        <w:t xml:space="preserve">The claim that conformance tooling cannot substitute for architecture is not</w:t>
      </w:r>
      <w:r>
        <w:t xml:space="preserve"> </w:t>
      </w:r>
      <w:r>
        <w:t xml:space="preserve">rhetorical. It is arithmetic, and the numbers come from this program’s own</w:t>
      </w:r>
      <w:r>
        <w:t xml:space="preserve"> </w:t>
      </w:r>
      <w:r>
        <w:t xml:space="preserve">evaluation engine:</w:t>
      </w:r>
    </w:p>
    <w:p>
      <w:pPr>
        <w:pStyle w:val="Compact"/>
        <w:numPr>
          <w:ilvl w:val="0"/>
          <w:numId w:val="1016"/>
        </w:numPr>
      </w:pPr>
      <w:r>
        <w:rPr>
          <w:b/>
          <w:bCs/>
        </w:rPr>
        <w:t xml:space="preserve">ScuBA-based rules attest 10 of the 29 rules in the series’ internal KSI decomposition</w:t>
      </w:r>
      <w:r>
        <w:t xml:space="preserve"> </w:t>
      </w:r>
      <w:r>
        <w:t xml:space="preserve">(KSI-001 through KSI-010) — the rules that reduce to Microsoft 365 GCC tenant</w:t>
      </w:r>
      <w:r>
        <w:t xml:space="preserve"> </w:t>
      </w:r>
      <w:r>
        <w:t xml:space="preserve">configuration state, which is exactly the surface ScubaGear measures. Even</w:t>
      </w:r>
      <w:r>
        <w:t xml:space="preserve"> </w:t>
      </w:r>
      <w:r>
        <w:t xml:space="preserve">these ten are not point-in-time scans in this architecture:</w:t>
      </w:r>
      <w:r>
        <w:t xml:space="preserve"> </w:t>
      </w:r>
      <w:r>
        <w:rPr>
          <w:b/>
          <w:bCs/>
        </w:rPr>
        <w:t xml:space="preserve">ScubaDrift</w:t>
      </w:r>
      <w:r>
        <w:t xml:space="preserve"> </w:t>
      </w:r>
      <w:r>
        <w:t xml:space="preserve">adds the operational lifecycle — run-to-run drift, risk-acceptance</w:t>
      </w:r>
      <w:r>
        <w:t xml:space="preserve"> </w:t>
      </w:r>
      <w:r>
        <w:t xml:space="preserve">dispositions with expiry, and a pipeline gate — so each verdict in the OSCAL</w:t>
      </w:r>
      <w:r>
        <w:t xml:space="preserve"> </w:t>
      </w:r>
      <w:r>
        <w:t xml:space="preserve">AR carries its result, disposition, governing POA&amp;M ticket, and expiry date</w:t>
      </w:r>
      <w:r>
        <w:t xml:space="preserve"> </w:t>
      </w:r>
      <w:r>
        <w:t xml:space="preserve">(Vol IV Book 06 §3.2 documents the pipeline).</w:t>
      </w:r>
    </w:p>
    <w:p>
      <w:pPr>
        <w:pStyle w:val="Compact"/>
        <w:numPr>
          <w:ilvl w:val="0"/>
          <w:numId w:val="1016"/>
        </w:numPr>
      </w:pPr>
      <w:r>
        <w:rPr>
          <w:b/>
          <w:bCs/>
        </w:rPr>
        <w:t xml:space="preserve">The other 19 rules bind to evidence slots that exist only because the</w:t>
      </w:r>
      <w:r>
        <w:rPr>
          <w:b/>
          <w:bCs/>
        </w:rPr>
        <w:t xml:space="preserve"> </w:t>
      </w:r>
      <w:r>
        <w:rPr>
          <w:b/>
          <w:bCs/>
        </w:rPr>
        <w:t xml:space="preserve">architecture in Vols I–IV was built</w:t>
      </w:r>
      <w:r>
        <w:t xml:space="preserve"> </w:t>
      </w:r>
      <w:r>
        <w:t xml:space="preserve">— supply-chain evidence from the SBOM</w:t>
      </w:r>
      <w:r>
        <w:t xml:space="preserve"> </w:t>
      </w:r>
      <w:r>
        <w:t xml:space="preserve">pipeline, privacy evidence from the data-flow maps, training-effectiveness</w:t>
      </w:r>
      <w:r>
        <w:t xml:space="preserve"> </w:t>
      </w:r>
      <w:r>
        <w:t xml:space="preserve">records from the LMS schema, continuity evidence from the DR architecture,</w:t>
      </w:r>
      <w:r>
        <w:t xml:space="preserve"> </w:t>
      </w:r>
      <w:r>
        <w:t xml:space="preserve">and the identity, network, and telemetry evidence that the substrate parts</w:t>
      </w:r>
      <w:r>
        <w:t xml:space="preserve"> </w:t>
      </w:r>
      <w:r>
        <w:t xml:space="preserve">generate natively.</w:t>
      </w:r>
    </w:p>
    <w:p>
      <w:pPr>
        <w:pStyle w:val="FirstParagraph"/>
      </w:pPr>
      <w:r>
        <w:t xml:space="preserve">A conformance tool</w:t>
      </w:r>
      <w:r>
        <w:t xml:space="preserve"> </w:t>
      </w:r>
      <w:r>
        <w:rPr>
          <w:b/>
          <w:bCs/>
        </w:rPr>
        <w:t xml:space="preserve">measures drift from an intended state; it cannot author</w:t>
      </w:r>
      <w:r>
        <w:rPr>
          <w:b/>
          <w:bCs/>
        </w:rPr>
        <w:t xml:space="preserve"> </w:t>
      </w:r>
      <w:r>
        <w:rPr>
          <w:b/>
          <w:bCs/>
        </w:rPr>
        <w:t xml:space="preserve">one.</w:t>
      </w:r>
      <w:r>
        <w:t xml:space="preserve"> </w:t>
      </w:r>
      <w:r>
        <w:t xml:space="preserve">Run against an environment with no architecture, it measures drift from</w:t>
      </w:r>
      <w:r>
        <w:t xml:space="preserve"> </w:t>
      </w:r>
      <w:r>
        <w:t xml:space="preserve">nothing. An agency whose KSI strategy is</w:t>
      </w:r>
      <w:r>
        <w:t xml:space="preserve"> </w:t>
      </w:r>
      <w:r>
        <w:t xml:space="preserve">“run SCuBA and the Zero Trust toolkit”</w:t>
      </w:r>
      <w:r>
        <w:t xml:space="preserve"> </w:t>
      </w:r>
      <w:r>
        <w:t xml:space="preserve">arrives at the January 1, 2027 mandatory date able to attest one third of the</w:t>
      </w:r>
      <w:r>
        <w:t xml:space="preserve"> </w:t>
      </w:r>
      <w:r>
        <w:t xml:space="preserve">catalog — with no evidence pipeline for the rest.</w:t>
      </w:r>
    </w:p>
    <w:p>
      <w:r>
        <w:pict>
          <v:rect style="width:0;height:1.5pt" o:hralign="center" o:hrstd="t" o:hr="t"/>
        </w:pict>
      </w:r>
    </w:p>
    <w:bookmarkEnd w:id="37"/>
    <w:bookmarkEnd w:id="38"/>
    <w:bookmarkStart w:id="39" w:name="the-ksi-closure-necessity-matrix"/>
    <w:p>
      <w:pPr>
        <w:pStyle w:val="Heading1"/>
      </w:pPr>
      <w:r>
        <w:t xml:space="preserve">The KSI Closure Necessity Matrix</w:t>
      </w:r>
    </w:p>
    <w:p>
      <w:pPr>
        <w:pStyle w:val="FirstParagraph"/>
      </w:pPr>
      <w:r>
        <w:t xml:space="preserve">The authoritative closure-necessity view for all 29 rules in the series’</w:t>
      </w:r>
      <w:r>
        <w:t xml:space="preserve"> </w:t>
      </w:r>
      <w:r>
        <w:t xml:space="preserve">internal KSI decomposition. Each row states what closes the rule set, whether conformance</w:t>
      </w:r>
      <w:r>
        <w:t xml:space="preserve"> </w:t>
      </w:r>
      <w:r>
        <w:t xml:space="preserve">tooling alone can attest it, and which evidence slot and series part carry it.</w:t>
      </w:r>
      <w:r>
        <w:t xml:space="preserve"> </w:t>
      </w:r>
      <w:r>
        <w:t xml:space="preserve">Vol IV Book 06 documents the evidence procedures; this matrix is the citable summary.</w:t>
      </w:r>
      <w:r>
        <w:t xml:space="preserve"> </w:t>
      </w:r>
      <w:r>
        <w:t xml:space="preserve">All verdicts are self-assessed pending independent security control assessment</w:t>
      </w:r>
      <w:r>
        <w:t xml:space="preserve"> </w:t>
      </w:r>
      <w:r>
        <w:t xml:space="preserve">(SCA).</w:t>
      </w:r>
    </w:p>
    <w:p>
      <w:pPr>
        <w:pStyle w:val="BlockText"/>
      </w:pPr>
      <w:r>
        <w:rPr>
          <w:b/>
          <w:bCs/>
        </w:rPr>
        <w:t xml:space="preserve">KSI-count reconciliation (initial diff published).</w:t>
      </w:r>
      <w:r>
        <w:t xml:space="preserve"> </w:t>
      </w:r>
      <w:r>
        <w:t xml:space="preserve">The 29 rules in this</w:t>
      </w:r>
      <w:r>
        <w:t xml:space="preserve"> </w:t>
      </w:r>
      <w:r>
        <w:t xml:space="preserve">matrix are the series’ internal KSI decomposition, not the published CR26 Moderate KSI</w:t>
      </w:r>
      <w:r>
        <w:t xml:space="preserve"> </w:t>
      </w:r>
      <w:r>
        <w:t xml:space="preserve">catalog. The rule-ID-by-rule-ID diff against the CR26 catalog committed in-repo</w:t>
      </w:r>
      <w:r>
        <w:t xml:space="preserve"> </w:t>
      </w:r>
      <w:r>
        <w:t xml:space="preserve">now exists — see</w:t>
      </w:r>
      <w:r>
        <w:t xml:space="preserve"> </w:t>
      </w:r>
      <w:r>
        <w:rPr>
          <w:rStyle w:val="VerbatimChar"/>
          <w:b/>
          <w:bCs/>
        </w:rPr>
        <w:t xml:space="preserve">Compliance_CR26_Reconciliation.md</w:t>
      </w:r>
      <w:r>
        <w:t xml:space="preserve"> </w:t>
      </w:r>
      <w:r>
        <w:t xml:space="preserve">(generated from the rule</w:t>
      </w:r>
      <w:r>
        <w:t xml:space="preserve"> </w:t>
      </w:r>
      <w:r>
        <w:t xml:space="preserve">YAMLs and the FedRAMP CR26 OSCAL catalog). Its result: of</w:t>
      </w:r>
      <w:r>
        <w:t xml:space="preserve"> </w:t>
      </w:r>
      <w:r>
        <w:rPr>
          <w:b/>
          <w:bCs/>
        </w:rPr>
        <w:t xml:space="preserve">46</w:t>
      </w:r>
      <w:r>
        <w:t xml:space="preserve"> </w:t>
      </w:r>
      <w:r>
        <w:t xml:space="preserve">CR26</w:t>
      </w:r>
      <w:r>
        <w:t xml:space="preserve"> </w:t>
      </w:r>
      <w:r>
        <w:t xml:space="preserve">indicators across the 10 themes,</w:t>
      </w:r>
      <w:r>
        <w:t xml:space="preserve"> </w:t>
      </w:r>
      <w:r>
        <w:rPr>
          <w:b/>
          <w:bCs/>
        </w:rPr>
        <w:t xml:space="preserve">19 are explicitly mapped 1:1</w:t>
      </w:r>
      <w:r>
        <w:t xml:space="preserve"> </w:t>
      </w:r>
      <w:r>
        <w:t xml:space="preserve">to an</w:t>
      </w:r>
      <w:r>
        <w:t xml:space="preserve"> </w:t>
      </w:r>
      <w:r>
        <w:t xml:space="preserve">internal rule (themes CMT/PIY/SCR/CED/INR/RPL, fully covered), and</w:t>
      </w:r>
      <w:r>
        <w:t xml:space="preserve"> </w:t>
      </w:r>
      <w:r>
        <w:rPr>
          <w:b/>
          <w:bCs/>
        </w:rPr>
        <w:t xml:space="preserve">27 are</w:t>
      </w:r>
      <w:r>
        <w:rPr>
          <w:b/>
          <w:bCs/>
        </w:rPr>
        <w:t xml:space="preserve"> </w:t>
      </w:r>
      <w:r>
        <w:rPr>
          <w:b/>
          <w:bCs/>
        </w:rPr>
        <w:t xml:space="preserve">not yet bound to an indicator ID</w:t>
      </w:r>
      <w:r>
        <w:t xml:space="preserve"> </w:t>
      </w:r>
      <w:r>
        <w:t xml:space="preserve">— the IAM/CNA/SVC/MLA themes, which the 10</w:t>
      </w:r>
      <w:r>
        <w:t xml:space="preserve"> </w:t>
      </w:r>
      <w:r>
        <w:t xml:space="preserve">ScuBA baseline rules attest at the baseline level without an indicator-ID</w:t>
      </w:r>
      <w:r>
        <w:t xml:space="preserve"> </w:t>
      </w:r>
      <w:r>
        <w:t xml:space="preserve">binding. So</w:t>
      </w:r>
      <w:r>
        <w:t xml:space="preserve"> </w:t>
      </w:r>
      <w:r>
        <w:rPr>
          <w:b/>
          <w:bCs/>
        </w:rPr>
        <w:t xml:space="preserve">“29/29 satisfied”</w:t>
      </w:r>
      <w:r>
        <w:rPr>
          <w:b/>
          <w:bCs/>
        </w:rPr>
        <w:t xml:space="preserve"> </w:t>
      </w:r>
      <w:r>
        <w:rPr>
          <w:b/>
          <w:bCs/>
        </w:rPr>
        <w:t xml:space="preserve">is a claim about the internal rule set, and CR26</w:t>
      </w:r>
      <w:r>
        <w:rPr>
          <w:b/>
          <w:bCs/>
        </w:rPr>
        <w:t xml:space="preserve"> </w:t>
      </w:r>
      <w:r>
        <w:rPr>
          <w:b/>
          <w:bCs/>
        </w:rPr>
        <w:t xml:space="preserve">indicator-level coverage is 19/46 explicitly mapped</w:t>
      </w:r>
      <w:r>
        <w:t xml:space="preserve">; the POA&amp;M is expected to</w:t>
      </w:r>
      <w:r>
        <w:t xml:space="preserve"> </w:t>
      </w:r>
      <w:r>
        <w:t xml:space="preserve">be non-empty once the unmapped indicators are assessed against the finalized</w:t>
      </w:r>
      <w:r>
        <w:t xml:space="preserve"> </w:t>
      </w:r>
      <w:r>
        <w:t xml:space="preserve">CR26 Moderate list (June 25, 2026) by an independent SCA.</w:t>
      </w:r>
    </w:p>
    <w:p>
      <w:pPr>
        <w:pStyle w:val="TableCaption"/>
      </w:pPr>
      <w:r>
        <w:t xml:space="preserve">KSI Closure Necessity Matrix — 29 internal KSI rules</w:t>
      </w:r>
    </w:p>
    <w:tbl>
      <w:tblPr>
        <w:tblStyle w:val="Table"/>
        <w:tblW w:type="pct" w:w="5000"/>
        <w:tblLayout w:type="fixed"/>
        <w:tblLook w:firstRow="1" w:lastRow="0" w:firstColumn="0" w:lastColumn="0" w:noHBand="0" w:noVBand="0" w:val="0020"/>
        <w:tblCaption w:val="KSI Closure Necessity Matrix — 29 internal KSI rules"/>
      </w:tblPr>
      <w:tblGrid>
        <w:gridCol w:w="1320"/>
        <w:gridCol w:w="1320"/>
        <w:gridCol w:w="1320"/>
        <w:gridCol w:w="1320"/>
        <w:gridCol w:w="1320"/>
        <w:gridCol w:w="1320"/>
      </w:tblGrid>
      <w:tr>
        <w:trPr>
          <w:tblHeader w:val="on"/>
        </w:trPr>
        <w:tc>
          <w:tcPr/>
          <w:p>
            <w:pPr>
              <w:pStyle w:val="Compact"/>
            </w:pPr>
            <w:r>
              <w:t xml:space="preserve">KSI rules</w:t>
            </w:r>
          </w:p>
        </w:tc>
        <w:tc>
          <w:tcPr/>
          <w:p>
            <w:pPr>
              <w:pStyle w:val="Compact"/>
            </w:pPr>
            <w:r>
              <w:t xml:space="preserve">Theme</w:t>
            </w:r>
          </w:p>
        </w:tc>
        <w:tc>
          <w:tcPr/>
          <w:p>
            <w:pPr>
              <w:pStyle w:val="Compact"/>
            </w:pPr>
            <w:r>
              <w:t xml:space="preserve">What closes it</w:t>
            </w:r>
          </w:p>
        </w:tc>
        <w:tc>
          <w:tcPr/>
          <w:p>
            <w:pPr>
              <w:pStyle w:val="Compact"/>
            </w:pPr>
            <w:r>
              <w:t xml:space="preserve">Attestable by conformance tooling alone?</w:t>
            </w:r>
          </w:p>
        </w:tc>
        <w:tc>
          <w:tcPr/>
          <w:p>
            <w:pPr>
              <w:pStyle w:val="Compact"/>
            </w:pPr>
            <w:r>
              <w:t xml:space="preserve">Evidence slot</w:t>
            </w:r>
          </w:p>
        </w:tc>
        <w:tc>
          <w:tcPr/>
          <w:p>
            <w:pPr>
              <w:pStyle w:val="Compact"/>
            </w:pPr>
            <w:r>
              <w:t xml:space="preserve">Series part</w:t>
            </w:r>
          </w:p>
        </w:tc>
      </w:tr>
      <w:tr>
        <w:tc>
          <w:tcPr/>
          <w:p>
            <w:pPr>
              <w:pStyle w:val="Compact"/>
            </w:pPr>
            <w:r>
              <w:t xml:space="preserve">KSI-001..010 (10)</w:t>
            </w:r>
          </w:p>
        </w:tc>
        <w:tc>
          <w:tcPr/>
          <w:p>
            <w:pPr>
              <w:pStyle w:val="Compact"/>
            </w:pPr>
            <w:r>
              <w:t xml:space="preserve">M365 baseline (IAM/MLA/CNA/SVC configuration surface)</w:t>
            </w:r>
          </w:p>
        </w:tc>
        <w:tc>
          <w:tcPr/>
          <w:p>
            <w:pPr>
              <w:pStyle w:val="Compact"/>
            </w:pPr>
            <w:r>
              <w:t xml:space="preserve">Microsoft 365 GCC tenant configuration against the CISA SCuBA baseline, drift- and exception-gated by ScubaDrift</w:t>
            </w:r>
          </w:p>
        </w:tc>
        <w:tc>
          <w:tcPr/>
          <w:p>
            <w:pPr>
              <w:pStyle w:val="Compact"/>
            </w:pPr>
            <w:r>
              <w:rPr>
                <w:b/>
                <w:bCs/>
              </w:rPr>
              <w:t xml:space="preserve">Yes — ScuBAGear + ScubaDrift dispositions</w:t>
            </w:r>
          </w:p>
        </w:tc>
        <w:tc>
          <w:tcPr/>
          <w:p>
            <w:pPr>
              <w:pStyle w:val="Compact"/>
            </w:pPr>
            <w:r>
              <w:t xml:space="preserve">ScuBA adapter (no slot binding)</w:t>
            </w:r>
          </w:p>
        </w:tc>
        <w:tc>
          <w:tcPr/>
          <w:p>
            <w:pPr>
              <w:pStyle w:val="Compact"/>
            </w:pPr>
            <w:r>
              <w:t xml:space="preserve">Validation phase (after Vol I makes the baseline the natural steady state)</w:t>
            </w:r>
          </w:p>
        </w:tc>
      </w:tr>
      <w:tr>
        <w:tc>
          <w:tcPr/>
          <w:p>
            <w:pPr>
              <w:pStyle w:val="Compact"/>
            </w:pPr>
            <w:r>
              <w:t xml:space="preserve">KSI-011..014 (4)</w:t>
            </w:r>
          </w:p>
        </w:tc>
        <w:tc>
          <w:tcPr/>
          <w:p>
            <w:pPr>
              <w:pStyle w:val="Compact"/>
            </w:pPr>
            <w:r>
              <w:t xml:space="preserve">CMT — change-management evidence</w:t>
            </w:r>
          </w:p>
        </w:tc>
        <w:tc>
          <w:tcPr/>
          <w:p>
            <w:pPr>
              <w:pStyle w:val="Compact"/>
            </w:pPr>
            <w:r>
              <w:t xml:space="preserve">SBOM/VEX pipeline (Syft, Grype, OpenVEX) under EO 14028 §4 / SR-family; every dependency change logged, immutably redeployed, and validated per deployment</w:t>
            </w:r>
          </w:p>
        </w:tc>
        <w:tc>
          <w:tcPr/>
          <w:p>
            <w:pPr>
              <w:pStyle w:val="Compact"/>
            </w:pPr>
            <w:r>
              <w:t xml:space="preserve">No</w:t>
            </w:r>
          </w:p>
        </w:tc>
        <w:tc>
          <w:tcPr/>
          <w:p>
            <w:pPr>
              <w:pStyle w:val="Compact"/>
            </w:pPr>
            <w:r>
              <w:t xml:space="preserve">slot-06 security</w:t>
            </w:r>
          </w:p>
        </w:tc>
        <w:tc>
          <w:tcPr/>
          <w:p>
            <w:pPr>
              <w:pStyle w:val="Compact"/>
            </w:pPr>
            <w:r>
              <w:t xml:space="preserve">Vol IV Book 02</w:t>
            </w:r>
          </w:p>
        </w:tc>
      </w:tr>
      <w:tr>
        <w:tc>
          <w:tcPr/>
          <w:p>
            <w:pPr>
              <w:pStyle w:val="Compact"/>
            </w:pPr>
            <w:r>
              <w:t xml:space="preserve">KSI-015..016 (2)</w:t>
            </w:r>
          </w:p>
        </w:tc>
        <w:tc>
          <w:tcPr/>
          <w:p>
            <w:pPr>
              <w:pStyle w:val="Compact"/>
            </w:pPr>
            <w:r>
              <w:t xml:space="preserve">SCR-MIT / SCR-MON</w:t>
            </w:r>
          </w:p>
        </w:tc>
        <w:tc>
          <w:tcPr/>
          <w:p>
            <w:pPr>
              <w:pStyle w:val="Compact"/>
            </w:pPr>
            <w:r>
              <w:t xml:space="preserve">SCRM charter + continuous supply-chain monitoring</w:t>
            </w:r>
          </w:p>
        </w:tc>
        <w:tc>
          <w:tcPr/>
          <w:p>
            <w:pPr>
              <w:pStyle w:val="Compact"/>
            </w:pPr>
            <w:r>
              <w:t xml:space="preserve">No</w:t>
            </w:r>
          </w:p>
        </w:tc>
        <w:tc>
          <w:tcPr/>
          <w:p>
            <w:pPr>
              <w:pStyle w:val="Compact"/>
            </w:pPr>
            <w:r>
              <w:t xml:space="preserve">slot-06 security</w:t>
            </w:r>
          </w:p>
        </w:tc>
        <w:tc>
          <w:tcPr/>
          <w:p>
            <w:pPr>
              <w:pStyle w:val="Compact"/>
            </w:pPr>
            <w:r>
              <w:t xml:space="preserve">Vol IV Books 02–03</w:t>
            </w:r>
          </w:p>
        </w:tc>
      </w:tr>
      <w:tr>
        <w:tc>
          <w:tcPr/>
          <w:p>
            <w:pPr>
              <w:pStyle w:val="Compact"/>
            </w:pPr>
            <w:r>
              <w:t xml:space="preserve">KSI-017..021 (5)</w:t>
            </w:r>
          </w:p>
        </w:tc>
        <w:tc>
          <w:tcPr/>
          <w:p>
            <w:pPr>
              <w:pStyle w:val="Compact"/>
            </w:pPr>
            <w:r>
              <w:t xml:space="preserve">PIY (GIV/RES/RIS/RSD/RVD)</w:t>
            </w:r>
          </w:p>
        </w:tc>
        <w:tc>
          <w:tcPr/>
          <w:p>
            <w:pPr>
              <w:pStyle w:val="Compact"/>
            </w:pPr>
            <w:r>
              <w:t xml:space="preserve">Privacy program, PII data-flow maps, Purview Data Map integration</w:t>
            </w:r>
          </w:p>
        </w:tc>
        <w:tc>
          <w:tcPr/>
          <w:p>
            <w:pPr>
              <w:pStyle w:val="Compact"/>
            </w:pPr>
            <w:r>
              <w:t xml:space="preserve">No</w:t>
            </w:r>
          </w:p>
        </w:tc>
        <w:tc>
          <w:tcPr/>
          <w:p>
            <w:pPr>
              <w:pStyle w:val="Compact"/>
            </w:pPr>
            <w:r>
              <w:t xml:space="preserve">slot-05 endpoint</w:t>
            </w:r>
          </w:p>
        </w:tc>
        <w:tc>
          <w:tcPr/>
          <w:p>
            <w:pPr>
              <w:pStyle w:val="Compact"/>
            </w:pPr>
            <w:r>
              <w:t xml:space="preserve">Vol IV Book 04</w:t>
            </w:r>
          </w:p>
        </w:tc>
      </w:tr>
      <w:tr>
        <w:tc>
          <w:tcPr/>
          <w:p>
            <w:pPr>
              <w:pStyle w:val="Compact"/>
            </w:pPr>
            <w:r>
              <w:t xml:space="preserve">KSI-022 (1)</w:t>
            </w:r>
          </w:p>
        </w:tc>
        <w:tc>
          <w:tcPr/>
          <w:p>
            <w:pPr>
              <w:pStyle w:val="Compact"/>
            </w:pPr>
            <w:r>
              <w:t xml:space="preserve">CED-RAT</w:t>
            </w:r>
          </w:p>
        </w:tc>
        <w:tc>
          <w:tcPr/>
          <w:p>
            <w:pPr>
              <w:pStyle w:val="Compact"/>
            </w:pPr>
            <w:r>
              <w:t xml:space="preserve">Machine-readable training-effectiveness record (LMS → Graph API export)</w:t>
            </w:r>
          </w:p>
        </w:tc>
        <w:tc>
          <w:tcPr/>
          <w:p>
            <w:pPr>
              <w:pStyle w:val="Compact"/>
            </w:pPr>
            <w:r>
              <w:t xml:space="preserve">No</w:t>
            </w:r>
          </w:p>
        </w:tc>
        <w:tc>
          <w:tcPr/>
          <w:p>
            <w:pPr>
              <w:pStyle w:val="Compact"/>
            </w:pPr>
            <w:r>
              <w:t xml:space="preserve">slot-08 training</w:t>
            </w:r>
          </w:p>
        </w:tc>
        <w:tc>
          <w:tcPr/>
          <w:p>
            <w:pPr>
              <w:pStyle w:val="Compact"/>
            </w:pPr>
            <w:r>
              <w:t xml:space="preserve">Vol IV Book 05</w:t>
            </w:r>
          </w:p>
        </w:tc>
      </w:tr>
      <w:tr>
        <w:tc>
          <w:tcPr/>
          <w:p>
            <w:pPr>
              <w:pStyle w:val="Compact"/>
            </w:pPr>
            <w:r>
              <w:t xml:space="preserve">KSI-023..029 (7)</w:t>
            </w:r>
          </w:p>
        </w:tc>
        <w:tc>
          <w:tcPr/>
          <w:p>
            <w:pPr>
              <w:pStyle w:val="Compact"/>
            </w:pPr>
            <w:r>
              <w:t xml:space="preserve">INR / RPL</w:t>
            </w:r>
          </w:p>
        </w:tc>
        <w:tc>
          <w:tcPr/>
          <w:p>
            <w:pPr>
              <w:pStyle w:val="Compact"/>
            </w:pPr>
            <w:r>
              <w:t xml:space="preserve">Sentinel/XDR incident playbooks + DR/continuity architecture</w:t>
            </w:r>
          </w:p>
        </w:tc>
        <w:tc>
          <w:tcPr/>
          <w:p>
            <w:pPr>
              <w:pStyle w:val="Compact"/>
            </w:pPr>
            <w:r>
              <w:t xml:space="preserve">No</w:t>
            </w:r>
          </w:p>
        </w:tc>
        <w:tc>
          <w:tcPr/>
          <w:p>
            <w:pPr>
              <w:pStyle w:val="Compact"/>
            </w:pPr>
            <w:r>
              <w:t xml:space="preserve">slot-07 continuity, slot-04 telemetry</w:t>
            </w:r>
          </w:p>
        </w:tc>
        <w:tc>
          <w:tcPr/>
          <w:p>
            <w:pPr>
              <w:pStyle w:val="Compact"/>
            </w:pPr>
            <w:r>
              <w:t xml:space="preserve">Vol III Book 06 and Vol IV Book 01</w:t>
            </w:r>
          </w:p>
        </w:tc>
      </w:tr>
    </w:tbl>
    <w:p>
      <w:pPr>
        <w:pStyle w:val="BodyText"/>
      </w:pPr>
      <w:r>
        <w:rPr>
          <w:b/>
          <w:bCs/>
        </w:rPr>
        <w:t xml:space="preserve">Bottom line: 10 of 29 rules are attestable by conformance tooling alone; 19</w:t>
      </w:r>
      <w:r>
        <w:rPr>
          <w:b/>
          <w:bCs/>
        </w:rPr>
        <w:t xml:space="preserve"> </w:t>
      </w:r>
      <w:r>
        <w:rPr>
          <w:b/>
          <w:bCs/>
        </w:rPr>
        <w:t xml:space="preserve">of 29 exist as evaluable rules only because the series built the evidence</w:t>
      </w:r>
      <w:r>
        <w:rPr>
          <w:b/>
          <w:bCs/>
        </w:rPr>
        <w:t xml:space="preserve"> </w:t>
      </w:r>
      <w:r>
        <w:rPr>
          <w:b/>
          <w:bCs/>
        </w:rPr>
        <w:t xml:space="preserve">architecture underneath them.</w:t>
      </w:r>
      <w:r>
        <w:t xml:space="preserve"> </w:t>
      </w:r>
      <w:r>
        <w:t xml:space="preserve">The substrate parts feed the whole table: the</w:t>
      </w:r>
      <w:r>
        <w:t xml:space="preserve"> </w:t>
      </w:r>
      <w:r>
        <w:t xml:space="preserve">identity slot (slot-01) draws on Vol I Books 03, 04, 05 and Vol III Book 01; the network slot (slot-03)</w:t>
      </w:r>
      <w:r>
        <w:t xml:space="preserve"> </w:t>
      </w:r>
      <w:r>
        <w:t xml:space="preserve">on Vol I Books 01, 02, and 06; the data and telemetry slots (slot-02, slot-04) on Vol III Books</w:t>
      </w:r>
      <w:r>
        <w:t xml:space="preserve"> </w:t>
      </w:r>
      <w:r>
        <w:t xml:space="preserve">01, 02, and 05. Remove the substrate and the 19 slot-bound rules do not degrade — they</w:t>
      </w:r>
      <w:r>
        <w:t xml:space="preserve"> </w:t>
      </w:r>
      <w:r>
        <w:t xml:space="preserve">become unevaluable.</w:t>
      </w:r>
    </w:p>
    <w:p>
      <w:r>
        <w:pict>
          <v:rect style="width:0;height:1.5pt" o:hralign="center" o:hrstd="t" o:hr="t"/>
        </w:pict>
      </w:r>
    </w:p>
    <w:bookmarkEnd w:id="39"/>
    <w:bookmarkStart w:id="40" w:name="Xd8412075ae72a1334f7aea052d8fa68fa2dbbc2"/>
    <w:p>
      <w:pPr>
        <w:pStyle w:val="Heading1"/>
      </w:pPr>
      <w:r>
        <w:t xml:space="preserve">Residual Compliance Risk Under Current Architecture</w:t>
      </w:r>
    </w:p>
    <w:p>
      <w:pPr>
        <w:pStyle w:val="FirstParagraph"/>
      </w:pPr>
      <w:r>
        <w:t xml:space="preserve">The table below identifies the specific NIST SP 800-53 Rev 5 findings a FedRAMP assessor would document under current Agency architecture. Each row represents an expected POA&amp;M item — an open finding that requires a Plan of Action and Milestones and must be tracked through closure at every assessment cycle. The final column identifies the architectural element that closes the finding.</w:t>
      </w:r>
    </w:p>
    <w:p>
      <w:pPr>
        <w:pStyle w:val="BodyText"/>
      </w:pPr>
      <w:r>
        <w:t xml:space="preserve">This is not a complete audit finding list. It presents the findings most directly attributable to the specific architectural gaps this series addresses.</w:t>
      </w:r>
    </w:p>
    <w:p>
      <w:pPr>
        <w:pStyle w:val="TableCaption"/>
      </w:pPr>
      <w:r>
        <w:t xml:space="preserve">Expected POA&amp;M Items Under Current Architecture and the Technology That Closes Each</w:t>
      </w:r>
    </w:p>
    <w:tbl>
      <w:tblPr>
        <w:tblStyle w:val="Table"/>
        <w:tblW w:type="pct" w:w="5000"/>
        <w:tblLayout w:type="fixed"/>
        <w:tblLook w:firstRow="1" w:lastRow="0" w:firstColumn="0" w:lastColumn="0" w:noHBand="0" w:noVBand="0" w:val="0020"/>
        <w:tblCaption w:val="Expected POA&amp;M Items Under Current Architecture and the Technology That Closes Each"/>
      </w:tblPr>
      <w:tblGrid>
        <w:gridCol w:w="1980"/>
        <w:gridCol w:w="1980"/>
        <w:gridCol w:w="1980"/>
        <w:gridCol w:w="1980"/>
      </w:tblGrid>
      <w:tr>
        <w:trPr>
          <w:tblHeader w:val="on"/>
        </w:trPr>
        <w:tc>
          <w:tcPr/>
          <w:p>
            <w:pPr>
              <w:pStyle w:val="Compact"/>
            </w:pPr>
            <w:r>
              <w:t xml:space="preserve">Expected Finding</w:t>
            </w:r>
          </w:p>
        </w:tc>
        <w:tc>
          <w:tcPr/>
          <w:p>
            <w:pPr>
              <w:pStyle w:val="Compact"/>
            </w:pPr>
            <w:r>
              <w:t xml:space="preserve">Assessment Condition</w:t>
            </w:r>
          </w:p>
        </w:tc>
        <w:tc>
          <w:tcPr/>
          <w:p>
            <w:pPr>
              <w:pStyle w:val="Compact"/>
            </w:pPr>
            <w:r>
              <w:t xml:space="preserve">Root Cause</w:t>
            </w:r>
          </w:p>
        </w:tc>
        <w:tc>
          <w:tcPr/>
          <w:p>
            <w:pPr>
              <w:pStyle w:val="Compact"/>
            </w:pPr>
            <w:r>
              <w:t xml:space="preserve">Closed By</w:t>
            </w:r>
          </w:p>
        </w:tc>
      </w:tr>
      <w:tr>
        <w:tc>
          <w:tcPr/>
          <w:p>
            <w:pPr>
              <w:pStyle w:val="Compact"/>
            </w:pPr>
            <w:r>
              <w:rPr>
                <w:b/>
                <w:bCs/>
              </w:rPr>
              <w:t xml:space="preserve">CM-8: Component inventory incomplete</w:t>
            </w:r>
          </w:p>
        </w:tc>
        <w:tc>
          <w:tcPr/>
          <w:p>
            <w:pPr>
              <w:pStyle w:val="Compact"/>
            </w:pPr>
            <w:r>
              <w:t xml:space="preserve">IP inventory assembled manually per environment; no continuous discovery; VM additions not captured at provisioning; four separate CMDB feeds with inconsistent update cycles</w:t>
            </w:r>
          </w:p>
        </w:tc>
        <w:tc>
          <w:tcPr/>
          <w:p>
            <w:pPr>
              <w:pStyle w:val="Compact"/>
            </w:pPr>
            <w:r>
              <w:t xml:space="preserve">No unified IP Address Management system; inventory diverges from actual state between scans</w:t>
            </w:r>
          </w:p>
        </w:tc>
        <w:tc>
          <w:tcPr/>
          <w:p>
            <w:pPr>
              <w:pStyle w:val="Compact"/>
            </w:pPr>
            <w:r>
              <w:t xml:space="preserve">InfoBlox IPAM — atomic provisioning creates IP, DNS, and inventory record simultaneously at workload creation</w:t>
            </w:r>
          </w:p>
        </w:tc>
      </w:tr>
      <w:tr>
        <w:tc>
          <w:tcPr/>
          <w:p>
            <w:pPr>
              <w:pStyle w:val="Compact"/>
            </w:pPr>
            <w:r>
              <w:rPr>
                <w:b/>
                <w:bCs/>
              </w:rPr>
              <w:t xml:space="preserve">SC-20 / SC-21: DNSSEC not implemented</w:t>
            </w:r>
          </w:p>
        </w:tc>
        <w:tc>
          <w:tcPr/>
          <w:p>
            <w:pPr>
              <w:pStyle w:val="Compact"/>
            </w:pPr>
            <w:r>
              <w:t xml:space="preserve">AWS Route 53 private zones cannot be DNSSEC-signed (documented platform gap); SDN segments not covered by any signed zone; no recursive DNSSEC validation on client-side resolvers</w:t>
            </w:r>
          </w:p>
        </w:tc>
        <w:tc>
          <w:tcPr/>
          <w:p>
            <w:pPr>
              <w:pStyle w:val="Compact"/>
            </w:pPr>
            <w:r>
              <w:t xml:space="preserve">No authoritative DNSSEC-capable resolver spanning all four environments</w:t>
            </w:r>
          </w:p>
        </w:tc>
        <w:tc>
          <w:tcPr/>
          <w:p>
            <w:pPr>
              <w:pStyle w:val="Compact"/>
            </w:pPr>
            <w:r>
              <w:t xml:space="preserve">InfoBlox DNSSEC Grid — signs all zones including internal SDN segments; provides recursive DNSSEC validation across all environments</w:t>
            </w:r>
          </w:p>
        </w:tc>
      </w:tr>
      <w:tr>
        <w:tc>
          <w:tcPr/>
          <w:p>
            <w:pPr>
              <w:pStyle w:val="Compact"/>
            </w:pPr>
            <w:r>
              <w:rPr>
                <w:b/>
                <w:bCs/>
              </w:rPr>
              <w:t xml:space="preserve">SC-7: DNS-layer boundary control absent</w:t>
            </w:r>
          </w:p>
        </w:tc>
        <w:tc>
          <w:tcPr/>
          <w:p>
            <w:pPr>
              <w:pStyle w:val="Compact"/>
            </w:pPr>
            <w:r>
              <w:t xml:space="preserve">C2 callback domains resolvable via standard resolver; DNS exfiltration undetected; no enforcement of GCC-only Microsoft 365 endpoint resolution</w:t>
            </w:r>
          </w:p>
        </w:tc>
        <w:tc>
          <w:tcPr/>
          <w:p>
            <w:pPr>
              <w:pStyle w:val="Compact"/>
            </w:pPr>
            <w:r>
              <w:t xml:space="preserve">No DNS Response Policy Zone (RPZ) enforcement</w:t>
            </w:r>
          </w:p>
        </w:tc>
        <w:tc>
          <w:tcPr/>
          <w:p>
            <w:pPr>
              <w:pStyle w:val="Compact"/>
            </w:pPr>
            <w:r>
              <w:t xml:space="preserve">InfoBlox RPZ + CISA Protective DNS feed — blocks C2 domains, exfiltration patterns, and non-GCC M365 endpoints at the resolver</w:t>
            </w:r>
          </w:p>
        </w:tc>
      </w:tr>
      <w:tr>
        <w:tc>
          <w:tcPr/>
          <w:p>
            <w:pPr>
              <w:pStyle w:val="Compact"/>
            </w:pPr>
            <w:r>
              <w:rPr>
                <w:b/>
                <w:bCs/>
              </w:rPr>
              <w:t xml:space="preserve">AU-2 / AU-12: DNS and DHCP events not in SIEM</w:t>
            </w:r>
          </w:p>
        </w:tc>
        <w:tc>
          <w:tcPr/>
          <w:p>
            <w:pPr>
              <w:pStyle w:val="Compact"/>
            </w:pPr>
            <w:r>
              <w:t xml:space="preserve">Four separate DNS log formats; DHCP lease events not captured; no unified audit trail for IP allocation and resolution events; correlation across environments impossible</w:t>
            </w:r>
          </w:p>
        </w:tc>
        <w:tc>
          <w:tcPr/>
          <w:p>
            <w:pPr>
              <w:pStyle w:val="Compact"/>
            </w:pPr>
            <w:r>
              <w:t xml:space="preserve">Per-environment logging without unified syslog pipeline</w:t>
            </w:r>
          </w:p>
        </w:tc>
        <w:tc>
          <w:tcPr/>
          <w:p>
            <w:pPr>
              <w:pStyle w:val="Compact"/>
            </w:pPr>
            <w:r>
              <w:t xml:space="preserve">InfoBlox unified syslog — single RFC 5424 stream across all Grid Members to agency SIEM</w:t>
            </w:r>
          </w:p>
        </w:tc>
      </w:tr>
      <w:tr>
        <w:tc>
          <w:tcPr/>
          <w:p>
            <w:pPr>
              <w:pStyle w:val="Compact"/>
            </w:pPr>
            <w:r>
              <w:rPr>
                <w:b/>
                <w:bCs/>
              </w:rPr>
              <w:t xml:space="preserve">IA-9 / SC-8: Certificate-to-IP binding undocumented</w:t>
            </w:r>
          </w:p>
        </w:tc>
        <w:tc>
          <w:tcPr/>
          <w:p>
            <w:pPr>
              <w:pStyle w:val="Compact"/>
            </w:pPr>
            <w:r>
              <w:t xml:space="preserve">mTLS enrollment is manual and untracked; certificate inventory not linked to IP host records; SCEP/EST enrollment not enforced at provisioning</w:t>
            </w:r>
          </w:p>
        </w:tc>
        <w:tc>
          <w:tcPr/>
          <w:p>
            <w:pPr>
              <w:pStyle w:val="Compact"/>
            </w:pPr>
            <w:r>
              <w:t xml:space="preserve">No PKI integration with IP management</w:t>
            </w:r>
          </w:p>
        </w:tc>
        <w:tc>
          <w:tcPr/>
          <w:p>
            <w:pPr>
              <w:pStyle w:val="Compact"/>
            </w:pPr>
            <w:r>
              <w:t xml:space="preserve">InfoBlox PKI / SCEP/EST — certificate issued at provisioning, revoked at decommission, linked to IP host record</w:t>
            </w:r>
          </w:p>
        </w:tc>
      </w:tr>
      <w:tr>
        <w:tc>
          <w:tcPr/>
          <w:p>
            <w:pPr>
              <w:pStyle w:val="Compact"/>
            </w:pPr>
            <w:r>
              <w:rPr>
                <w:b/>
                <w:bCs/>
              </w:rPr>
              <w:t xml:space="preserve">SC-8: Network-layer encryption absent on DIA circuits</w:t>
            </w:r>
          </w:p>
        </w:tc>
        <w:tc>
          <w:tcPr/>
          <w:p>
            <w:pPr>
              <w:pStyle w:val="Compact"/>
            </w:pPr>
            <w:r>
              <w:t xml:space="preserve">DIA circuits carry traffic unencrypted at the network layer; confidentiality rests on per-flow application-layer TLS, which covers only the flows that negotiate it — DNS, legacy protocols, and misconfigured applications ride bare — with no circuit-level attestation</w:t>
            </w:r>
          </w:p>
        </w:tc>
        <w:tc>
          <w:tcPr/>
          <w:p>
            <w:pPr>
              <w:pStyle w:val="Compact"/>
            </w:pPr>
            <w:r>
              <w:t xml:space="preserve">No IPsec overlay on DIA circuits</w:t>
            </w:r>
          </w:p>
        </w:tc>
        <w:tc>
          <w:tcPr/>
          <w:p>
            <w:pPr>
              <w:pStyle w:val="Compact"/>
            </w:pPr>
            <w:r>
              <w:t xml:space="preserve">SD-WAN IPsec overlay — encrypts every flow on the circuit at the network layer, converting an unbounded set of per-flow TLS attestations into one circuit-level closure</w:t>
            </w:r>
          </w:p>
        </w:tc>
      </w:tr>
      <w:tr>
        <w:tc>
          <w:tcPr/>
          <w:p>
            <w:pPr>
              <w:pStyle w:val="Compact"/>
            </w:pPr>
            <w:r>
              <w:rPr>
                <w:b/>
                <w:bCs/>
              </w:rPr>
              <w:t xml:space="preserve">AC-4: Application-layer information flow not enforced</w:t>
            </w:r>
          </w:p>
        </w:tc>
        <w:tc>
          <w:tcPr/>
          <w:p>
            <w:pPr>
              <w:pStyle w:val="Compact"/>
            </w:pPr>
            <w:r>
              <w:t xml:space="preserve">Traffic inspected at IP/port layer only; GCC-tenant and commercial-tenant Microsoft 365 are indistinguishable at the network layer; data type and destination classification absent from enforcement decision</w:t>
            </w:r>
          </w:p>
        </w:tc>
        <w:tc>
          <w:tcPr/>
          <w:p>
            <w:pPr>
              <w:pStyle w:val="Compact"/>
            </w:pPr>
            <w:r>
              <w:t xml:space="preserve">No application-layer inspection on DIA path</w:t>
            </w:r>
          </w:p>
        </w:tc>
        <w:tc>
          <w:tcPr/>
          <w:p>
            <w:pPr>
              <w:pStyle w:val="Compact"/>
            </w:pPr>
            <w:r>
              <w:t xml:space="preserve">SASE CASB — identifies application, tenant, data type, and user action at each session; enforces information flow policy</w:t>
            </w:r>
          </w:p>
        </w:tc>
      </w:tr>
      <w:tr>
        <w:tc>
          <w:tcPr/>
          <w:p>
            <w:pPr>
              <w:pStyle w:val="Compact"/>
            </w:pPr>
            <w:r>
              <w:rPr>
                <w:b/>
                <w:bCs/>
              </w:rPr>
              <w:t xml:space="preserve">SC-7: Application-layer boundary protection absent on DIA path</w:t>
            </w:r>
          </w:p>
        </w:tc>
        <w:tc>
          <w:tcPr/>
          <w:p>
            <w:pPr>
              <w:pStyle w:val="Compact"/>
            </w:pPr>
            <w:r>
              <w:t xml:space="preserve">Port 443 traffic opaque to network controls; C2 on standard HTTPS port undetectable; data loss patterns invisible to IP/port firewall</w:t>
            </w:r>
          </w:p>
        </w:tc>
        <w:tc>
          <w:tcPr/>
          <w:p>
            <w:pPr>
              <w:pStyle w:val="Compact"/>
            </w:pPr>
            <w:r>
              <w:t xml:space="preserve">No Secure Web Gateway on DIA path</w:t>
            </w:r>
          </w:p>
        </w:tc>
        <w:tc>
          <w:tcPr/>
          <w:p>
            <w:pPr>
              <w:pStyle w:val="Compact"/>
            </w:pPr>
            <w:r>
              <w:t xml:space="preserve">SASE SWG / FWaaS — inline SSL inspection and application-layer boundary enforcement at every DIA egress point</w:t>
            </w:r>
          </w:p>
        </w:tc>
      </w:tr>
      <w:tr>
        <w:tc>
          <w:tcPr/>
          <w:p>
            <w:pPr>
              <w:pStyle w:val="Compact"/>
            </w:pPr>
            <w:r>
              <w:rPr>
                <w:b/>
                <w:bCs/>
              </w:rPr>
              <w:t xml:space="preserve">SI-3: Inline malware inspection absent on DIA path</w:t>
            </w:r>
          </w:p>
        </w:tc>
        <w:tc>
          <w:tcPr/>
          <w:p>
            <w:pPr>
              <w:pStyle w:val="Compact"/>
            </w:pPr>
            <w:r>
              <w:t xml:space="preserve">Malware delivered over HTTPS reaches endpoints before SIEM detection; no inspection point on DIA path between field office and internet</w:t>
            </w:r>
          </w:p>
        </w:tc>
        <w:tc>
          <w:tcPr/>
          <w:p>
            <w:pPr>
              <w:pStyle w:val="Compact"/>
            </w:pPr>
            <w:r>
              <w:t xml:space="preserve">No inline scanning on DIA circuit</w:t>
            </w:r>
          </w:p>
        </w:tc>
        <w:tc>
          <w:tcPr/>
          <w:p>
            <w:pPr>
              <w:pStyle w:val="Compact"/>
            </w:pPr>
            <w:r>
              <w:t xml:space="preserve">SASE SWG with SSL inspection — malware scanning inline at the nearest SASE Point of Presence</w:t>
            </w:r>
          </w:p>
        </w:tc>
      </w:tr>
      <w:tr>
        <w:tc>
          <w:tcPr/>
          <w:p>
            <w:pPr>
              <w:pStyle w:val="Compact"/>
            </w:pPr>
            <w:r>
              <w:rPr>
                <w:b/>
                <w:bCs/>
              </w:rPr>
              <w:t xml:space="preserve">AU-12: Session records incomplete</w:t>
            </w:r>
          </w:p>
        </w:tc>
        <w:tc>
          <w:tcPr/>
          <w:p>
            <w:pPr>
              <w:pStyle w:val="Compact"/>
            </w:pPr>
            <w:r>
              <w:t xml:space="preserve">IP flow logs contain source IP, destination IP, port, and byte count; user identity, device posture, application, action, and data type absent; non-repudiation requirements cannot be met</w:t>
            </w:r>
          </w:p>
        </w:tc>
        <w:tc>
          <w:tcPr/>
          <w:p>
            <w:pPr>
              <w:pStyle w:val="Compact"/>
            </w:pPr>
            <w:r>
              <w:t xml:space="preserve">No application-layer session logging on DIA path</w:t>
            </w:r>
          </w:p>
        </w:tc>
        <w:tc>
          <w:tcPr/>
          <w:p>
            <w:pPr>
              <w:pStyle w:val="Compact"/>
            </w:pPr>
            <w:r>
              <w:t xml:space="preserve">SASE per-session telemetry — structured record per session including user, device, application, action, data type, timestamp</w:t>
            </w:r>
          </w:p>
        </w:tc>
      </w:tr>
      <w:tr>
        <w:tc>
          <w:tcPr/>
          <w:p>
            <w:pPr>
              <w:pStyle w:val="Compact"/>
            </w:pPr>
            <w:r>
              <w:rPr>
                <w:b/>
                <w:bCs/>
              </w:rPr>
              <w:t xml:space="preserve">IA-2: NTLM authentication events are audit-opaque</w:t>
            </w:r>
          </w:p>
        </w:tc>
        <w:tc>
          <w:tcPr/>
          <w:p>
            <w:pPr>
              <w:pStyle w:val="Compact"/>
            </w:pPr>
            <w:r>
              <w:t xml:space="preserve">NTLM authentication does not produce token-level event records; SIEM cannot correlate authentication events with user identity, device, or session; pass-the-hash exposure undetectable</w:t>
            </w:r>
          </w:p>
        </w:tc>
        <w:tc>
          <w:tcPr/>
          <w:p>
            <w:pPr>
              <w:pStyle w:val="Compact"/>
            </w:pPr>
            <w:r>
              <w:t xml:space="preserve">Kerberos/NTLM in use; Entra ID not deployed; NTLM fallback silent and unmonitored</w:t>
            </w:r>
          </w:p>
        </w:tc>
        <w:tc>
          <w:tcPr/>
          <w:p>
            <w:pPr>
              <w:pStyle w:val="Compact"/>
            </w:pPr>
            <w:r>
              <w:t xml:space="preserve">Entra ID token-based authentication — every authentication produces a structured, queryable token-level event record</w:t>
            </w:r>
          </w:p>
        </w:tc>
      </w:tr>
      <w:tr>
        <w:tc>
          <w:tcPr/>
          <w:p>
            <w:pPr>
              <w:pStyle w:val="Compact"/>
            </w:pPr>
            <w:r>
              <w:rPr>
                <w:b/>
                <w:bCs/>
              </w:rPr>
              <w:t xml:space="preserve">IA-5: SQL Server credential inventory undocumented</w:t>
            </w:r>
          </w:p>
        </w:tc>
        <w:tc>
          <w:tcPr/>
          <w:p>
            <w:pPr>
              <w:pStyle w:val="Compact"/>
            </w:pPr>
            <w:r>
              <w:t xml:space="preserve">SQL logins store password hashes in SQL Server; no centralized rotation; service account passwords not managed by any credential management system; orphaned SQL logins not detected</w:t>
            </w:r>
          </w:p>
        </w:tc>
        <w:tc>
          <w:tcPr/>
          <w:p>
            <w:pPr>
              <w:pStyle w:val="Compact"/>
            </w:pPr>
            <w:r>
              <w:t xml:space="preserve">Mixed-mode SQL authentication with stored credential hashes</w:t>
            </w:r>
          </w:p>
        </w:tc>
        <w:tc>
          <w:tcPr/>
          <w:p>
            <w:pPr>
              <w:pStyle w:val="Compact"/>
            </w:pPr>
            <w:r>
              <w:t xml:space="preserve">Entra ID for SQL — SQL logins eliminated; Managed Identity connections require no stored credential; credential inventory becomes an Entra audit report</w:t>
            </w:r>
          </w:p>
        </w:tc>
      </w:tr>
      <w:tr>
        <w:tc>
          <w:tcPr/>
          <w:p>
            <w:pPr>
              <w:pStyle w:val="Compact"/>
            </w:pPr>
            <w:r>
              <w:rPr>
                <w:b/>
                <w:bCs/>
              </w:rPr>
              <w:t xml:space="preserve">CM-8: SQL Server estate undocumented</w:t>
            </w:r>
          </w:p>
        </w:tc>
        <w:tc>
          <w:tcPr/>
          <w:p>
            <w:pPr>
              <w:pStyle w:val="Compact"/>
            </w:pPr>
            <w:r>
              <w:t xml:space="preserve">SQL Server instances not fully enumerated; version and end-of-life posture unknown for some instances; login inventory stale; linked server dependencies not mapped</w:t>
            </w:r>
          </w:p>
        </w:tc>
        <w:tc>
          <w:tcPr/>
          <w:p>
            <w:pPr>
              <w:pStyle w:val="Compact"/>
            </w:pPr>
            <w:r>
              <w:t xml:space="preserve">No SQL estate discovery or continuous inventory process</w:t>
            </w:r>
          </w:p>
        </w:tc>
        <w:tc>
          <w:tcPr/>
          <w:p>
            <w:pPr>
              <w:pStyle w:val="Compact"/>
            </w:pPr>
            <w:r>
              <w:t xml:space="preserve">SQL estate discovery + continuous monitoring record — every instance inventoried, every login typed and tracked, every dependency mapped</w:t>
            </w:r>
          </w:p>
        </w:tc>
      </w:tr>
    </w:tbl>
    <w:p>
      <w:pPr>
        <w:pStyle w:val="BodyText"/>
      </w:pPr>
      <w:r>
        <w:rPr>
          <w:b/>
          <w:bCs/>
        </w:rPr>
        <w:t xml:space="preserve">FedRAMP 20x implication:</w:t>
      </w:r>
      <w:r>
        <w:t xml:space="preserve"> </w:t>
      </w:r>
      <w:r>
        <w:t xml:space="preserve">Under FedRAMP 20x rules (mandatory January 1, 2027), POA&amp;M items no longer trigger periodic remediation deadlines — they trigger continuous evidence collection requirements. An open CM-8 finding under FedRAMP 20x requires the agency to demonstrate a continuous, machine-readable inventory update process, not a one-time scan. Findings that require manual evidence assembly cannot satisfy FedRAMP 20x Key Security Indicator (KSI) requirements.</w:t>
      </w:r>
    </w:p>
    <w:p>
      <w:r>
        <w:pict>
          <v:rect style="width:0;height:1.5pt" o:hralign="center" o:hrstd="t" o:hr="t"/>
        </w:pict>
      </w:r>
    </w:p>
    <w:bookmarkEnd w:id="40"/>
    <w:bookmarkStart w:id="43" w:name="Xe255c930f567169e52ce976fdb6128021a577c3"/>
    <w:p>
      <w:pPr>
        <w:pStyle w:val="Heading1"/>
      </w:pPr>
      <w:r>
        <w:t xml:space="preserve">Vol I Book 01 — Landing Zone DDI: InfoBlox DDI Closes 18 NIST Controls</w:t>
      </w:r>
    </w:p>
    <w:bookmarkStart w:id="41" w:name="what-this-document-addresses"/>
    <w:p>
      <w:pPr>
        <w:pStyle w:val="Heading2"/>
      </w:pPr>
      <w:r>
        <w:t xml:space="preserve">What This Document Addresses</w:t>
      </w:r>
    </w:p>
    <w:p>
      <w:pPr>
        <w:pStyle w:val="FirstParagraph"/>
      </w:pPr>
      <w:r>
        <w:t xml:space="preserve">Every federal cloud landing zone — whether on AWS GovCloud, Azure Government, Oracle OCI, or on-premises VMware — requires DNS, DHCP, and IP Address Management (DDI) to function. Agency operates four such environments simultaneously. Without a unified DDI control plane, each environment generates its own IP inventory, its own DNS logs, and its own certificate records. FedRAMP compliance evidence must be assembled separately from each.</w:t>
      </w:r>
    </w:p>
    <w:p>
      <w:pPr>
        <w:pStyle w:val="BodyText"/>
      </w:pPr>
      <w:r>
        <w:rPr>
          <w:b/>
          <w:bCs/>
        </w:rPr>
        <w:t xml:space="preserve">InfoBlox DDI</w:t>
      </w:r>
      <w:r>
        <w:t xml:space="preserve"> </w:t>
      </w:r>
      <w:r>
        <w:t xml:space="preserve">is one of a small number of FedRAMP Moderate-authorized DDI platforms — but that DDI-specific authorization is six days old as of this writing, not the December 2022 vintage most of this series cites. CSO FR2017257053 was originally agency-authorized December 15, 2022 via the U.S. Census Bureau / Dept. of Commerce for</w:t>
      </w:r>
      <w:r>
        <w:t xml:space="preserve"> </w:t>
      </w:r>
      <w:r>
        <w:rPr>
          <w:b/>
          <w:bCs/>
        </w:rPr>
        <w:t xml:space="preserve">BloxOne Threat Defense Federal Cloud</w:t>
      </w:r>
      <w:r>
        <w:t xml:space="preserve"> </w:t>
      </w:r>
      <w:r>
        <w:t xml:space="preserve">— a DNS-security/threat-intelligence service, not DDI/IPAM. On</w:t>
      </w:r>
      <w:r>
        <w:t xml:space="preserve"> </w:t>
      </w:r>
      <w:r>
        <w:rPr>
          <w:b/>
          <w:bCs/>
        </w:rPr>
        <w:t xml:space="preserve">July 22, 2026</w:t>
      </w:r>
      <w:r>
        <w:t xml:space="preserve">, the same CSO — rebranded</w:t>
      </w:r>
      <w:r>
        <w:t xml:space="preserve"> </w:t>
      </w:r>
      <w:r>
        <w:rPr>
          <w:b/>
          <w:bCs/>
        </w:rPr>
        <w:t xml:space="preserve">Infoblox Government Cloud</w:t>
      </w:r>
      <w:r>
        <w:t xml:space="preserve">, hosted on AWS GovCloud — was recertified FedRAMP Moderate with an expanded boundary adding</w:t>
      </w:r>
      <w:r>
        <w:t xml:space="preserve"> </w:t>
      </w:r>
      <w:r>
        <w:rPr>
          <w:b/>
          <w:bCs/>
        </w:rPr>
        <w:t xml:space="preserve">Universal DDI Management, NIOS-X Servers, and Universal Asset Insights</w:t>
      </w:r>
      <w:r>
        <w:t xml:space="preserve">. Verify current authorization scope, sponsor, and package status on the FedRAMP Marketplace at time of procurement — this is a newly expanded boundary. A single InfoBlox deployment spanning all four Agency environments closes</w:t>
      </w:r>
      <w:r>
        <w:t xml:space="preserve"> </w:t>
      </w:r>
      <w:r>
        <w:rPr>
          <w:b/>
          <w:bCs/>
        </w:rPr>
        <w:t xml:space="preserve">18 NIST SP 800-53 Rev 5 controls</w:t>
      </w:r>
      <w:r>
        <w:t xml:space="preserve"> </w:t>
      </w:r>
      <w:r>
        <w:t xml:space="preserve">that would otherwise require manual evidence assembly from four separate sources.</w:t>
      </w:r>
    </w:p>
    <w:bookmarkEnd w:id="41"/>
    <w:bookmarkStart w:id="42" w:name="nist-control-closure-vol-i-book-01"/>
    <w:p>
      <w:pPr>
        <w:pStyle w:val="Heading2"/>
      </w:pPr>
      <w:r>
        <w:t xml:space="preserve">NIST Control Closure — Vol I Book 01</w:t>
      </w:r>
    </w:p>
    <w:p>
      <w:pPr>
        <w:pStyle w:val="TableCaption"/>
      </w:pPr>
      <w:r>
        <w:t xml:space="preserve">Vol I Book 01 — NIST SP 800-53 Rev 5 Control Closure: InfoBlox DDI Landing Zone</w:t>
      </w:r>
    </w:p>
    <w:tbl>
      <w:tblPr>
        <w:tblStyle w:val="Table"/>
        <w:tblW w:type="pct" w:w="5000"/>
        <w:tblLayout w:type="fixed"/>
        <w:tblLook w:firstRow="1" w:lastRow="0" w:firstColumn="0" w:lastColumn="0" w:noHBand="0" w:noVBand="0" w:val="0020"/>
        <w:tblCaption w:val="Vol I Book 01 — NIST SP 800-53 Rev 5 Control Closure: InfoBlox DDI Landing Zone"/>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InfoBlox DDI</w:t>
            </w:r>
          </w:p>
        </w:tc>
        <w:tc>
          <w:tcPr/>
          <w:p>
            <w:pPr>
              <w:pStyle w:val="Compact"/>
            </w:pPr>
            <w:r>
              <w:t xml:space="preserve">With InfoBlox DDI</w:t>
            </w:r>
          </w:p>
        </w:tc>
        <w:tc>
          <w:tcPr/>
          <w:p>
            <w:pPr>
              <w:pStyle w:val="Compact"/>
            </w:pPr>
            <w:r>
              <w:t xml:space="preserve">Evidence Generated</w:t>
            </w:r>
          </w:p>
        </w:tc>
      </w:tr>
      <w:tr>
        <w:tc>
          <w:tcPr/>
          <w:p>
            <w:pPr>
              <w:pStyle w:val="Compact"/>
            </w:pPr>
            <w:r>
              <w:rPr>
                <w:b/>
                <w:bCs/>
              </w:rPr>
              <w:t xml:space="preserve">SC-20</w:t>
            </w:r>
          </w:p>
        </w:tc>
        <w:tc>
          <w:tcPr/>
          <w:p>
            <w:pPr>
              <w:pStyle w:val="Compact"/>
            </w:pPr>
            <w:r>
              <w:t xml:space="preserve">Secure Name/Address Resolution (Authoritative)</w:t>
            </w:r>
          </w:p>
        </w:tc>
        <w:tc>
          <w:tcPr/>
          <w:p>
            <w:pPr>
              <w:pStyle w:val="Compact"/>
            </w:pPr>
            <w:r>
              <w:t xml:space="preserve">InfoBlox DNSSEC</w:t>
            </w:r>
          </w:p>
        </w:tc>
        <w:tc>
          <w:tcPr/>
          <w:p>
            <w:pPr>
              <w:pStyle w:val="Compact"/>
            </w:pPr>
            <w:r>
              <w:t xml:space="preserve">DNSSEC not signed on internal SDN zones; AWS Route 53 private zones cannot be DNSSEC-signed (documented platform gap)</w:t>
            </w:r>
          </w:p>
        </w:tc>
        <w:tc>
          <w:tcPr/>
          <w:p>
            <w:pPr>
              <w:pStyle w:val="Compact"/>
            </w:pPr>
            <w:r>
              <w:t xml:space="preserve">All zones including internal SDN segments signed; DS record published to .gov TLD registrar</w:t>
            </w:r>
          </w:p>
        </w:tc>
        <w:tc>
          <w:tcPr/>
          <w:p>
            <w:pPr>
              <w:pStyle w:val="Compact"/>
            </w:pPr>
            <w:r>
              <w:t xml:space="preserve">DNSSEC key rotation log; DS record audit</w:t>
            </w:r>
          </w:p>
        </w:tc>
      </w:tr>
      <w:tr>
        <w:tc>
          <w:tcPr/>
          <w:p>
            <w:pPr>
              <w:pStyle w:val="Compact"/>
            </w:pPr>
            <w:r>
              <w:rPr>
                <w:b/>
                <w:bCs/>
              </w:rPr>
              <w:t xml:space="preserve">SC-20(1)</w:t>
            </w:r>
          </w:p>
        </w:tc>
        <w:tc>
          <w:tcPr/>
          <w:p>
            <w:pPr>
              <w:pStyle w:val="Compact"/>
            </w:pPr>
            <w:r>
              <w:t xml:space="preserve">Child Subspaces</w:t>
            </w:r>
          </w:p>
        </w:tc>
        <w:tc>
          <w:tcPr/>
          <w:p>
            <w:pPr>
              <w:pStyle w:val="Compact"/>
            </w:pPr>
            <w:r>
              <w:t xml:space="preserve">InfoBlox DNSSEC</w:t>
            </w:r>
          </w:p>
        </w:tc>
        <w:tc>
          <w:tcPr/>
          <w:p>
            <w:pPr>
              <w:pStyle w:val="Compact"/>
            </w:pPr>
            <w:r>
              <w:t xml:space="preserve">No cryptographic chain of trust for subzone delegation</w:t>
            </w:r>
          </w:p>
        </w:tc>
        <w:tc>
          <w:tcPr/>
          <w:p>
            <w:pPr>
              <w:pStyle w:val="Compact"/>
            </w:pPr>
            <w:r>
              <w:t xml:space="preserve">Grid Master signs all delegated subzones; chain of trust maintained automatically</w:t>
            </w:r>
          </w:p>
        </w:tc>
        <w:tc>
          <w:tcPr/>
          <w:p>
            <w:pPr>
              <w:pStyle w:val="Compact"/>
            </w:pPr>
            <w:r>
              <w:t xml:space="preserve">Delegation signer records in Grid audit log</w:t>
            </w:r>
          </w:p>
        </w:tc>
      </w:tr>
      <w:tr>
        <w:tc>
          <w:tcPr/>
          <w:p>
            <w:pPr>
              <w:pStyle w:val="Compact"/>
            </w:pPr>
            <w:r>
              <w:rPr>
                <w:b/>
                <w:bCs/>
              </w:rPr>
              <w:t xml:space="preserve">SC-21</w:t>
            </w:r>
          </w:p>
        </w:tc>
        <w:tc>
          <w:tcPr/>
          <w:p>
            <w:pPr>
              <w:pStyle w:val="Compact"/>
            </w:pPr>
            <w:r>
              <w:t xml:space="preserve">Secure Name/Address Resolution (Recursive)</w:t>
            </w:r>
          </w:p>
        </w:tc>
        <w:tc>
          <w:tcPr/>
          <w:p>
            <w:pPr>
              <w:pStyle w:val="Compact"/>
            </w:pPr>
            <w:r>
              <w:t xml:space="preserve">InfoBlox RPZ + PDNS</w:t>
            </w:r>
          </w:p>
        </w:tc>
        <w:tc>
          <w:tcPr/>
          <w:p>
            <w:pPr>
              <w:pStyle w:val="Compact"/>
            </w:pPr>
            <w:r>
              <w:t xml:space="preserve">No recursive DNSSEC validation on client-side resolvers</w:t>
            </w:r>
          </w:p>
        </w:tc>
        <w:tc>
          <w:tcPr/>
          <w:p>
            <w:pPr>
              <w:pStyle w:val="Compact"/>
            </w:pPr>
            <w:r>
              <w:t xml:space="preserve">All Grid Members perform recursive DNSSEC validation; CISA Protective DNS feed integrated as RPZ</w:t>
            </w:r>
          </w:p>
        </w:tc>
        <w:tc>
          <w:tcPr/>
          <w:p>
            <w:pPr>
              <w:pStyle w:val="Compact"/>
            </w:pPr>
            <w:r>
              <w:t xml:space="preserve">RPZ hit log to SIEM; validation failure alerts</w:t>
            </w:r>
          </w:p>
        </w:tc>
      </w:tr>
      <w:tr>
        <w:tc>
          <w:tcPr/>
          <w:p>
            <w:pPr>
              <w:pStyle w:val="Compact"/>
            </w:pPr>
            <w:r>
              <w:rPr>
                <w:b/>
                <w:bCs/>
              </w:rPr>
              <w:t xml:space="preserve">SC-22</w:t>
            </w:r>
          </w:p>
        </w:tc>
        <w:tc>
          <w:tcPr/>
          <w:p>
            <w:pPr>
              <w:pStyle w:val="Compact"/>
            </w:pPr>
            <w:r>
              <w:t xml:space="preserve">Architecture and Provisioning for Name/Address Resolution</w:t>
            </w:r>
          </w:p>
        </w:tc>
        <w:tc>
          <w:tcPr/>
          <w:p>
            <w:pPr>
              <w:pStyle w:val="Compact"/>
            </w:pPr>
            <w:r>
              <w:t xml:space="preserve">InfoBlox Network Insight</w:t>
            </w:r>
          </w:p>
        </w:tc>
        <w:tc>
          <w:tcPr/>
          <w:p>
            <w:pPr>
              <w:pStyle w:val="Compact"/>
            </w:pPr>
            <w:r>
              <w:t xml:space="preserve">DNS topology undocumented or manually maintained</w:t>
            </w:r>
          </w:p>
        </w:tc>
        <w:tc>
          <w:tcPr/>
          <w:p>
            <w:pPr>
              <w:pStyle w:val="Compact"/>
            </w:pPr>
            <w:r>
              <w:t xml:space="preserve">Network Insight auto-generates authoritative DDI topology; Grid Master-to-Member map maintained continuously</w:t>
            </w:r>
          </w:p>
        </w:tc>
        <w:tc>
          <w:tcPr/>
          <w:p>
            <w:pPr>
              <w:pStyle w:val="Compact"/>
            </w:pPr>
            <w:r>
              <w:t xml:space="preserve">Network Insight export; SSP Appendix J auto-populated</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InfoBlox RPZ</w:t>
            </w:r>
          </w:p>
        </w:tc>
        <w:tc>
          <w:tcPr/>
          <w:p>
            <w:pPr>
              <w:pStyle w:val="Compact"/>
            </w:pPr>
            <w:r>
              <w:t xml:space="preserve">DNS-layer egress is uncontrolled; no enforcement of GCC boundary for Microsoft 365</w:t>
            </w:r>
          </w:p>
        </w:tc>
        <w:tc>
          <w:tcPr/>
          <w:p>
            <w:pPr>
              <w:pStyle w:val="Compact"/>
            </w:pPr>
            <w:r>
              <w:t xml:space="preserve">RPZ enforces domain-level egress blocking across all four environments; blocks C2 domains, DNS exfiltration, and non-GCC M365 endpoints</w:t>
            </w:r>
          </w:p>
        </w:tc>
        <w:tc>
          <w:tcPr/>
          <w:p>
            <w:pPr>
              <w:pStyle w:val="Compact"/>
            </w:pPr>
            <w:r>
              <w:t xml:space="preserve">RPZ block rate dashboard; SC-7(7) exfiltration alert</w:t>
            </w:r>
          </w:p>
        </w:tc>
      </w:tr>
      <w:tr>
        <w:tc>
          <w:tcPr/>
          <w:p>
            <w:pPr>
              <w:pStyle w:val="Compact"/>
            </w:pPr>
            <w:r>
              <w:rPr>
                <w:b/>
                <w:bCs/>
              </w:rPr>
              <w:t xml:space="preserve">SC-7(7)</w:t>
            </w:r>
          </w:p>
        </w:tc>
        <w:tc>
          <w:tcPr/>
          <w:p>
            <w:pPr>
              <w:pStyle w:val="Compact"/>
            </w:pPr>
            <w:r>
              <w:t xml:space="preserve">Split Tunneling for Remote Devices</w:t>
            </w:r>
          </w:p>
        </w:tc>
        <w:tc>
          <w:tcPr/>
          <w:p>
            <w:pPr>
              <w:pStyle w:val="Compact"/>
            </w:pPr>
            <w:r>
              <w:t xml:space="preserve">InfoBlox RPZ</w:t>
            </w:r>
          </w:p>
        </w:tc>
        <w:tc>
          <w:tcPr/>
          <w:p>
            <w:pPr>
              <w:pStyle w:val="Compact"/>
            </w:pPr>
            <w:r>
              <w:t xml:space="preserve">No DNS-layer control over split tunnel behavior</w:t>
            </w:r>
          </w:p>
        </w:tc>
        <w:tc>
          <w:tcPr/>
          <w:p>
            <w:pPr>
              <w:pStyle w:val="Compact"/>
            </w:pPr>
            <w:r>
              <w:t xml:space="preserve">RPZ blocks resolution of split-tunnel-bypass domains; enforces GCC-only Microsoft 365 resolution</w:t>
            </w:r>
          </w:p>
        </w:tc>
        <w:tc>
          <w:tcPr/>
          <w:p>
            <w:pPr>
              <w:pStyle w:val="Compact"/>
            </w:pPr>
            <w:r>
              <w:t xml:space="preserve">RPZ policy export; block event log</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InfoBlox PKI / mTLS</w:t>
            </w:r>
          </w:p>
        </w:tc>
        <w:tc>
          <w:tcPr/>
          <w:p>
            <w:pPr>
              <w:pStyle w:val="Compact"/>
            </w:pPr>
            <w:r>
              <w:t xml:space="preserve">Certificate-to-IP binding undocumented; mTLS enrollment manual or absent</w:t>
            </w:r>
          </w:p>
        </w:tc>
        <w:tc>
          <w:tcPr/>
          <w:p>
            <w:pPr>
              <w:pStyle w:val="Compact"/>
            </w:pPr>
            <w:r>
              <w:t xml:space="preserve">mTLS enforced between workloads via certificate-to-IP binding; SCEP/EST enrollment automated at provisioning</w:t>
            </w:r>
          </w:p>
        </w:tc>
        <w:tc>
          <w:tcPr/>
          <w:p>
            <w:pPr>
              <w:pStyle w:val="Compact"/>
            </w:pPr>
            <w:r>
              <w:t xml:space="preserve">Certificate Tracker report; mTLS config export</w:t>
            </w:r>
          </w:p>
        </w:tc>
      </w:tr>
      <w:tr>
        <w:tc>
          <w:tcPr/>
          <w:p>
            <w:pPr>
              <w:pStyle w:val="Compact"/>
            </w:pPr>
            <w:r>
              <w:rPr>
                <w:b/>
                <w:bCs/>
              </w:rPr>
              <w:t xml:space="preserve">SC-8(1)</w:t>
            </w:r>
          </w:p>
        </w:tc>
        <w:tc>
          <w:tcPr/>
          <w:p>
            <w:pPr>
              <w:pStyle w:val="Compact"/>
            </w:pPr>
            <w:r>
              <w:t xml:space="preserve">Cryptographic Protection</w:t>
            </w:r>
          </w:p>
        </w:tc>
        <w:tc>
          <w:tcPr/>
          <w:p>
            <w:pPr>
              <w:pStyle w:val="Compact"/>
            </w:pPr>
            <w:r>
              <w:t xml:space="preserve">InfoBlox PKI</w:t>
            </w:r>
          </w:p>
        </w:tc>
        <w:tc>
          <w:tcPr/>
          <w:p>
            <w:pPr>
              <w:pStyle w:val="Compact"/>
            </w:pPr>
            <w:r>
              <w:t xml:space="preserve">Encryption enforcement point-by-point; no systematic coverage</w:t>
            </w:r>
          </w:p>
        </w:tc>
        <w:tc>
          <w:tcPr/>
          <w:p>
            <w:pPr>
              <w:pStyle w:val="Compact"/>
            </w:pPr>
            <w:r>
              <w:t xml:space="preserve">Certificate Tracker links cert thumbprint, expiry, issuer, and key strength to every IP host record</w:t>
            </w:r>
          </w:p>
        </w:tc>
        <w:tc>
          <w:tcPr/>
          <w:p>
            <w:pPr>
              <w:pStyle w:val="Compact"/>
            </w:pPr>
            <w:r>
              <w:t xml:space="preserve">Cert inventory report; expiry alert log</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InfoBlox IPAM</w:t>
            </w:r>
          </w:p>
        </w:tc>
        <w:tc>
          <w:tcPr/>
          <w:p>
            <w:pPr>
              <w:pStyle w:val="Compact"/>
            </w:pPr>
            <w:r>
              <w:t xml:space="preserve">IP inventory assembled manually per environment; four separate CMDB feeds; inventory drifts between assessments</w:t>
            </w:r>
          </w:p>
        </w:tc>
        <w:tc>
          <w:tcPr/>
          <w:p>
            <w:pPr>
              <w:pStyle w:val="Compact"/>
            </w:pPr>
            <w:r>
              <w:t xml:space="preserve">Every IP host record is a CM-8 inventory item; SDN connectors enrich with VM name, OS, owner, and cloud region in near-real-time</w:t>
            </w:r>
          </w:p>
        </w:tc>
        <w:tc>
          <w:tcPr/>
          <w:p>
            <w:pPr>
              <w:pStyle w:val="Compact"/>
            </w:pPr>
            <w:r>
              <w:t xml:space="preserve">IP host record export to ServiceNow CMDB; CM-8 report on demand</w:t>
            </w:r>
          </w:p>
        </w:tc>
      </w:tr>
      <w:tr>
        <w:tc>
          <w:tcPr/>
          <w:p>
            <w:pPr>
              <w:pStyle w:val="Compact"/>
            </w:pPr>
            <w:r>
              <w:rPr>
                <w:b/>
                <w:bCs/>
              </w:rPr>
              <w:t xml:space="preserve">CM-8(1)</w:t>
            </w:r>
          </w:p>
        </w:tc>
        <w:tc>
          <w:tcPr/>
          <w:p>
            <w:pPr>
              <w:pStyle w:val="Compact"/>
            </w:pPr>
            <w:r>
              <w:t xml:space="preserve">Updates During Installation / Removal</w:t>
            </w:r>
          </w:p>
        </w:tc>
        <w:tc>
          <w:tcPr/>
          <w:p>
            <w:pPr>
              <w:pStyle w:val="Compact"/>
            </w:pPr>
            <w:r>
              <w:t xml:space="preserve">InfoBlox IPAM</w:t>
            </w:r>
          </w:p>
        </w:tc>
        <w:tc>
          <w:tcPr/>
          <w:p>
            <w:pPr>
              <w:pStyle w:val="Compact"/>
            </w:pPr>
            <w:r>
              <w:t xml:space="preserve">New workloads added without inventory update until next scan</w:t>
            </w:r>
          </w:p>
        </w:tc>
        <w:tc>
          <w:tcPr/>
          <w:p>
            <w:pPr>
              <w:pStyle w:val="Compact"/>
            </w:pPr>
            <w:r>
              <w:t xml:space="preserve">IaC integration creates IP+DNS+cert record atomically at provisioning; destroys all three at decommission</w:t>
            </w:r>
          </w:p>
        </w:tc>
        <w:tc>
          <w:tcPr/>
          <w:p>
            <w:pPr>
              <w:pStyle w:val="Compact"/>
            </w:pPr>
            <w:r>
              <w:t xml:space="preserve">Terraform state; IP lifecycle audit log</w:t>
            </w:r>
          </w:p>
        </w:tc>
      </w:tr>
      <w:tr>
        <w:tc>
          <w:tcPr/>
          <w:p>
            <w:pPr>
              <w:pStyle w:val="Compact"/>
            </w:pPr>
            <w:r>
              <w:rPr>
                <w:b/>
                <w:bCs/>
              </w:rPr>
              <w:t xml:space="preserve">CM-2 / CM-6</w:t>
            </w:r>
          </w:p>
        </w:tc>
        <w:tc>
          <w:tcPr/>
          <w:p>
            <w:pPr>
              <w:pStyle w:val="Compact"/>
            </w:pPr>
            <w:r>
              <w:t xml:space="preserve">Baseline Configuration / Configuration Settings</w:t>
            </w:r>
          </w:p>
        </w:tc>
        <w:tc>
          <w:tcPr/>
          <w:p>
            <w:pPr>
              <w:pStyle w:val="Compact"/>
            </w:pPr>
            <w:r>
              <w:t xml:space="preserve">InfoBlox Grid</w:t>
            </w:r>
          </w:p>
        </w:tc>
        <w:tc>
          <w:tcPr/>
          <w:p>
            <w:pPr>
              <w:pStyle w:val="Compact"/>
            </w:pPr>
            <w:r>
              <w:t xml:space="preserve">DNS and DHCP configuration undocumented; drift undetected</w:t>
            </w:r>
          </w:p>
        </w:tc>
        <w:tc>
          <w:tcPr/>
          <w:p>
            <w:pPr>
              <w:pStyle w:val="Compact"/>
            </w:pPr>
            <w:r>
              <w:t xml:space="preserve">Grid configuration versioned; IaC integration enforces baseline; Grid audit log records every configuration change</w:t>
            </w:r>
          </w:p>
        </w:tc>
        <w:tc>
          <w:tcPr/>
          <w:p>
            <w:pPr>
              <w:pStyle w:val="Compact"/>
            </w:pPr>
            <w:r>
              <w:t xml:space="preserve">Terraform state; Grid configuration snapshot</w:t>
            </w:r>
          </w:p>
        </w:tc>
      </w:tr>
      <w:tr>
        <w:tc>
          <w:tcPr/>
          <w:p>
            <w:pPr>
              <w:pStyle w:val="Compact"/>
            </w:pPr>
            <w:r>
              <w:rPr>
                <w:b/>
                <w:bCs/>
              </w:rPr>
              <w:t xml:space="preserve">SA-9</w:t>
            </w:r>
          </w:p>
        </w:tc>
        <w:tc>
          <w:tcPr/>
          <w:p>
            <w:pPr>
              <w:pStyle w:val="Compact"/>
            </w:pPr>
            <w:r>
              <w:t xml:space="preserve">External System Services</w:t>
            </w:r>
          </w:p>
        </w:tc>
        <w:tc>
          <w:tcPr/>
          <w:p>
            <w:pPr>
              <w:pStyle w:val="Compact"/>
            </w:pPr>
            <w:r>
              <w:t xml:space="preserve">InfoBlox DNS Forwarders</w:t>
            </w:r>
          </w:p>
        </w:tc>
        <w:tc>
          <w:tcPr/>
          <w:p>
            <w:pPr>
              <w:pStyle w:val="Compact"/>
            </w:pPr>
            <w:r>
              <w:t xml:space="preserve">External DNS dependencies undocumented; no systematic SA-9 table</w:t>
            </w:r>
          </w:p>
        </w:tc>
        <w:tc>
          <w:tcPr/>
          <w:p>
            <w:pPr>
              <w:pStyle w:val="Compact"/>
            </w:pPr>
            <w:r>
              <w:t xml:space="preserve">All external DNS forwarding destinations registered as governed external services; conditional forwarders generate SA-9 table automatically</w:t>
            </w:r>
          </w:p>
        </w:tc>
        <w:tc>
          <w:tcPr/>
          <w:p>
            <w:pPr>
              <w:pStyle w:val="Compact"/>
            </w:pPr>
            <w:r>
              <w:t xml:space="preserve">Forwarder config export; SSP SA-9 table</w:t>
            </w:r>
          </w:p>
        </w:tc>
      </w:tr>
      <w:tr>
        <w:tc>
          <w:tcPr/>
          <w:p>
            <w:pPr>
              <w:pStyle w:val="Compact"/>
            </w:pPr>
            <w:r>
              <w:rPr>
                <w:b/>
                <w:bCs/>
              </w:rPr>
              <w:t xml:space="preserve">IA-5(2)</w:t>
            </w:r>
          </w:p>
        </w:tc>
        <w:tc>
          <w:tcPr/>
          <w:p>
            <w:pPr>
              <w:pStyle w:val="Compact"/>
            </w:pPr>
            <w:r>
              <w:t xml:space="preserve">Public Key-Based Authentication</w:t>
            </w:r>
          </w:p>
        </w:tc>
        <w:tc>
          <w:tcPr/>
          <w:p>
            <w:pPr>
              <w:pStyle w:val="Compact"/>
            </w:pPr>
            <w:r>
              <w:t xml:space="preserve">InfoBlox PKI / Cert Tracker</w:t>
            </w:r>
          </w:p>
        </w:tc>
        <w:tc>
          <w:tcPr/>
          <w:p>
            <w:pPr>
              <w:pStyle w:val="Compact"/>
            </w:pPr>
            <w:r>
              <w:t xml:space="preserve">Certificate inventory maintained manually; expiry not linked to IP records</w:t>
            </w:r>
          </w:p>
        </w:tc>
        <w:tc>
          <w:tcPr/>
          <w:p>
            <w:pPr>
              <w:pStyle w:val="Compact"/>
            </w:pPr>
            <w:r>
              <w:t xml:space="preserve">Certificate Tracker links cert thumbprint, expiry, issuer, and enrollment source to IP host record</w:t>
            </w:r>
          </w:p>
        </w:tc>
        <w:tc>
          <w:tcPr/>
          <w:p>
            <w:pPr>
              <w:pStyle w:val="Compact"/>
            </w:pPr>
            <w:r>
              <w:t xml:space="preserve">Cert inventory report; expiry alert log</w:t>
            </w:r>
          </w:p>
        </w:tc>
      </w:tr>
      <w:tr>
        <w:tc>
          <w:tcPr/>
          <w:p>
            <w:pPr>
              <w:pStyle w:val="Compact"/>
            </w:pPr>
            <w:r>
              <w:rPr>
                <w:b/>
                <w:bCs/>
              </w:rPr>
              <w:t xml:space="preserve">IA-9</w:t>
            </w:r>
          </w:p>
        </w:tc>
        <w:tc>
          <w:tcPr/>
          <w:p>
            <w:pPr>
              <w:pStyle w:val="Compact"/>
            </w:pPr>
            <w:r>
              <w:t xml:space="preserve">Service Identification and Authentication</w:t>
            </w:r>
          </w:p>
        </w:tc>
        <w:tc>
          <w:tcPr/>
          <w:p>
            <w:pPr>
              <w:pStyle w:val="Compact"/>
            </w:pPr>
            <w:r>
              <w:t xml:space="preserve">InfoBlox SCEP/EST</w:t>
            </w:r>
          </w:p>
        </w:tc>
        <w:tc>
          <w:tcPr/>
          <w:p>
            <w:pPr>
              <w:pStyle w:val="Compact"/>
            </w:pPr>
            <w:r>
              <w:t xml:space="preserve">Workload-to-workload authentication undocumented; certificates issued ad hoc</w:t>
            </w:r>
          </w:p>
        </w:tc>
        <w:tc>
          <w:tcPr/>
          <w:p>
            <w:pPr>
              <w:pStyle w:val="Compact"/>
            </w:pPr>
            <w:r>
              <w:t xml:space="preserve">Every SDN workload receives a certificate via SCEP/EST automation at provisioning; certificate possession = boundary membership</w:t>
            </w:r>
          </w:p>
        </w:tc>
        <w:tc>
          <w:tcPr/>
          <w:p>
            <w:pPr>
              <w:pStyle w:val="Compact"/>
            </w:pPr>
            <w:r>
              <w:t xml:space="preserve">SCEP enrollment log; cert-to-IP binding report</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InfoBlox Syslog</w:t>
            </w:r>
          </w:p>
        </w:tc>
        <w:tc>
          <w:tcPr/>
          <w:p>
            <w:pPr>
              <w:pStyle w:val="Compact"/>
            </w:pPr>
            <w:r>
              <w:t xml:space="preserve">DNS, DHCP, and IP allocation events logged per-environment in incompatible formats; no unified SIEM feed</w:t>
            </w:r>
          </w:p>
        </w:tc>
        <w:tc>
          <w:tcPr/>
          <w:p>
            <w:pPr>
              <w:pStyle w:val="Compact"/>
            </w:pPr>
            <w:r>
              <w:t xml:space="preserve">Single syslog stream from all Grid Members across all four environments; RFC 5424 format; 3-year retention configured</w:t>
            </w:r>
          </w:p>
        </w:tc>
        <w:tc>
          <w:tcPr/>
          <w:p>
            <w:pPr>
              <w:pStyle w:val="Compact"/>
            </w:pPr>
            <w:r>
              <w:t xml:space="preserve">SIEM dashboards; retention policy; pre-built Sentinel/Splunk queries</w:t>
            </w:r>
          </w:p>
        </w:tc>
      </w:tr>
      <w:tr>
        <w:tc>
          <w:tcPr/>
          <w:p>
            <w:pPr>
              <w:pStyle w:val="Compact"/>
            </w:pPr>
            <w:r>
              <w:rPr>
                <w:b/>
                <w:bCs/>
              </w:rPr>
              <w:t xml:space="preserve">IR-4 / IR-5</w:t>
            </w:r>
          </w:p>
        </w:tc>
        <w:tc>
          <w:tcPr/>
          <w:p>
            <w:pPr>
              <w:pStyle w:val="Compact"/>
            </w:pPr>
            <w:r>
              <w:t xml:space="preserve">Incident Handling / Incident Monitoring</w:t>
            </w:r>
          </w:p>
        </w:tc>
        <w:tc>
          <w:tcPr/>
          <w:p>
            <w:pPr>
              <w:pStyle w:val="Compact"/>
            </w:pPr>
            <w:r>
              <w:t xml:space="preserve">InfoBlox RPZ + SIEM</w:t>
            </w:r>
          </w:p>
        </w:tc>
        <w:tc>
          <w:tcPr/>
          <w:p>
            <w:pPr>
              <w:pStyle w:val="Compact"/>
            </w:pPr>
            <w:r>
              <w:t xml:space="preserve">RPZ block events require manual review; no automated IR ticket generation</w:t>
            </w:r>
          </w:p>
        </w:tc>
        <w:tc>
          <w:tcPr/>
          <w:p>
            <w:pPr>
              <w:pStyle w:val="Compact"/>
            </w:pPr>
            <w:r>
              <w:t xml:space="preserve">RPZ block events auto-generate SIEM IR tickets; DNSSEC failure triggers SOC alerts; DNS exfiltration detection with behavioral baselining</w:t>
            </w:r>
          </w:p>
        </w:tc>
        <w:tc>
          <w:tcPr/>
          <w:p>
            <w:pPr>
              <w:pStyle w:val="Compact"/>
            </w:pPr>
            <w:r>
              <w:t xml:space="preserve">IR playbook; RPZ alert-to-ticket pipeline</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InfoBlox RPZ + TIDE</w:t>
            </w:r>
          </w:p>
        </w:tc>
        <w:tc>
          <w:tcPr/>
          <w:p>
            <w:pPr>
              <w:pStyle w:val="Compact"/>
            </w:pPr>
            <w:r>
              <w:t xml:space="preserve">No DNS-layer malware blocking; C2 domains reachable via standard resolution</w:t>
            </w:r>
          </w:p>
        </w:tc>
        <w:tc>
          <w:tcPr/>
          <w:p>
            <w:pPr>
              <w:pStyle w:val="Compact"/>
            </w:pPr>
            <w:r>
              <w:t xml:space="preserve">DNS-layer malware blocking via RPZ prevents resolution of C2 domains, ransomware callback, and phishing sites using CISA PDNS + TIDE feed</w:t>
            </w:r>
          </w:p>
        </w:tc>
        <w:tc>
          <w:tcPr/>
          <w:p>
            <w:pPr>
              <w:pStyle w:val="Compact"/>
            </w:pPr>
            <w:r>
              <w:t xml:space="preserve">RPZ block count by threat category; TIDE feed update log</w:t>
            </w:r>
          </w:p>
        </w:tc>
      </w:tr>
      <w:tr>
        <w:tc>
          <w:tcPr/>
          <w:p>
            <w:pPr>
              <w:pStyle w:val="Compact"/>
            </w:pPr>
            <w:r>
              <w:rPr>
                <w:b/>
                <w:bCs/>
              </w:rPr>
              <w:t xml:space="preserve">PL-8</w:t>
            </w:r>
          </w:p>
        </w:tc>
        <w:tc>
          <w:tcPr/>
          <w:p>
            <w:pPr>
              <w:pStyle w:val="Compact"/>
            </w:pPr>
            <w:r>
              <w:t xml:space="preserve">Security and Privacy Architectures</w:t>
            </w:r>
          </w:p>
        </w:tc>
        <w:tc>
          <w:tcPr/>
          <w:p>
            <w:pPr>
              <w:pStyle w:val="Compact"/>
            </w:pPr>
            <w:r>
              <w:t xml:space="preserve">InfoBlox DDI (Path A: inherited CSO / Path B: agency-carried)</w:t>
            </w:r>
          </w:p>
        </w:tc>
        <w:tc>
          <w:tcPr/>
          <w:p>
            <w:pPr>
              <w:pStyle w:val="Compact"/>
            </w:pPr>
            <w:r>
              <w:t xml:space="preserve">DDI architecture described informally or not at all in SSP</w:t>
            </w:r>
          </w:p>
        </w:tc>
        <w:tc>
          <w:tcPr/>
          <w:p>
            <w:pPr>
              <w:pStyle w:val="Compact"/>
            </w:pPr>
            <w:r>
              <w:t xml:space="preserve">Unified DDI architecture documented in SSP; under Path A the InfoBlox CSO is cited as an inherited control for the DDI layer, under Path B (the closer fit for Agency’s topology per Vol I Book 01) the DDI layer is documented as an agency-operated component with natively generated evidence</w:t>
            </w:r>
          </w:p>
        </w:tc>
        <w:tc>
          <w:tcPr/>
          <w:p>
            <w:pPr>
              <w:pStyle w:val="Compact"/>
            </w:pPr>
            <w:r>
              <w:t xml:space="preserve">SSP Section 13 architecture narrative</w:t>
            </w:r>
          </w:p>
        </w:tc>
      </w:tr>
    </w:tbl>
    <w:p>
      <w:pPr>
        <w:pStyle w:val="BodyText"/>
      </w:pPr>
      <w:r>
        <w:rPr>
          <w:b/>
          <w:bCs/>
        </w:rPr>
        <w:t xml:space="preserve">Controls closed: 18</w:t>
      </w:r>
      <w:r>
        <w:t xml:space="preserve"> </w:t>
      </w:r>
      <w:r>
        <w:t xml:space="preserve">(SC-20, SC-20(1), SC-21, SC-22, SC-7, SC-7(7), SC-8, SC-8(1), CM-8, CM-8(1), CM-2/CM-6, SA-9, IA-5(2), IA-9, AU-2/AU-12, IR-4/IR-5, SI-3, PL-8)</w:t>
      </w:r>
    </w:p>
    <w:p>
      <w:pPr>
        <w:pStyle w:val="BlockText"/>
      </w:pPr>
      <w:r>
        <w:rPr>
          <w:b/>
          <w:bCs/>
        </w:rPr>
        <w:t xml:space="preserve">FedRAMP 20x alignment:</w:t>
      </w:r>
      <w:r>
        <w:t xml:space="preserve"> </w:t>
      </w:r>
      <w:r>
        <w:t xml:space="preserve">InfoBlox WAPI generates all DDI evidence natively as machine-readable JSON — the evidence format the FedRAMP 20x KSI schema expects — with no additional tooling. Mechanism-class peers with full REST APIs (e.g., BlueCat) can satisfy the same evidence contract; the ConMon roadmap’s alternatives matrix documents the substitution consequences.</w:t>
      </w:r>
    </w:p>
    <w:p>
      <w:r>
        <w:pict>
          <v:rect style="width:0;height:1.5pt" o:hralign="center" o:hrstd="t" o:hr="t"/>
        </w:pict>
      </w:r>
    </w:p>
    <w:bookmarkEnd w:id="42"/>
    <w:bookmarkEnd w:id="43"/>
    <w:bookmarkStart w:id="45" w:name="X13c7ffccb0a1e7a1d7a800d566e8a84256f14ed"/>
    <w:p>
      <w:pPr>
        <w:pStyle w:val="Heading1"/>
      </w:pPr>
      <w:r>
        <w:t xml:space="preserve">Vol I Book 02 — Network Access Control: 802.1X Closes the Device Identity Gap</w:t>
      </w:r>
    </w:p>
    <w:bookmarkStart w:id="44" w:name="what-this-document-addresses-1"/>
    <w:p>
      <w:pPr>
        <w:pStyle w:val="Heading2"/>
      </w:pPr>
      <w:r>
        <w:t xml:space="preserve">What This Document Addresses</w:t>
      </w:r>
    </w:p>
    <w:p>
      <w:pPr>
        <w:pStyle w:val="FirstParagraph"/>
      </w:pPr>
      <w:r>
        <w:t xml:space="preserve">Every control in this series that evaluates</w:t>
      </w:r>
      <w:r>
        <w:t xml:space="preserve"> </w:t>
      </w:r>
      <w:r>
        <w:rPr>
          <w:i/>
          <w:iCs/>
        </w:rPr>
        <w:t xml:space="preserve">who</w:t>
      </w:r>
      <w:r>
        <w:t xml:space="preserve"> </w:t>
      </w:r>
      <w:r>
        <w:t xml:space="preserve">is requesting assumes the</w:t>
      </w:r>
      <w:r>
        <w:t xml:space="preserve"> </w:t>
      </w:r>
      <w:r>
        <w:t xml:space="preserve">network already knows</w:t>
      </w:r>
      <w:r>
        <w:t xml:space="preserve"> </w:t>
      </w:r>
      <w:r>
        <w:rPr>
          <w:i/>
          <w:iCs/>
        </w:rPr>
        <w:t xml:space="preserve">what</w:t>
      </w:r>
      <w:r>
        <w:t xml:space="preserve"> </w:t>
      </w:r>
      <w:r>
        <w:t xml:space="preserve">is requesting. Vol I Book 02 closes that assumption</w:t>
      </w:r>
      <w:r>
        <w:t xml:space="preserve"> </w:t>
      </w:r>
      <w:r>
        <w:t xml:space="preserve">with five interlocking mechanisms:</w:t>
      </w:r>
    </w:p>
    <w:p>
      <w:pPr>
        <w:pStyle w:val="Compact"/>
        <w:numPr>
          <w:ilvl w:val="0"/>
          <w:numId w:val="1017"/>
        </w:numPr>
      </w:pPr>
      <w:r>
        <w:rPr>
          <w:b/>
          <w:bCs/>
        </w:rPr>
        <w:t xml:space="preserve">802.1X EAP-TLS</w:t>
      </w:r>
      <w:r>
        <w:t xml:space="preserve"> </w:t>
      </w:r>
      <w:r>
        <w:t xml:space="preserve">— port authentication with TPM-backed machine certificates issued via Intune SCEP</w:t>
      </w:r>
    </w:p>
    <w:p>
      <w:pPr>
        <w:pStyle w:val="Compact"/>
        <w:numPr>
          <w:ilvl w:val="0"/>
          <w:numId w:val="1017"/>
        </w:numPr>
      </w:pPr>
      <w:r>
        <w:rPr>
          <w:b/>
          <w:bCs/>
        </w:rPr>
        <w:t xml:space="preserve">RADIUS with Change of Authorization (CoA)</w:t>
      </w:r>
      <w:r>
        <w:t xml:space="preserve"> </w:t>
      </w:r>
      <w:r>
        <w:t xml:space="preserve">— real-time policy enforcement; non-compliant devices moved to the remediation VLAN without requiring re-authentication</w:t>
      </w:r>
    </w:p>
    <w:p>
      <w:pPr>
        <w:pStyle w:val="Compact"/>
        <w:numPr>
          <w:ilvl w:val="0"/>
          <w:numId w:val="1017"/>
        </w:numPr>
      </w:pPr>
      <w:r>
        <w:rPr>
          <w:b/>
          <w:bCs/>
        </w:rPr>
        <w:t xml:space="preserve">NAC policy tiers</w:t>
      </w:r>
      <w:r>
        <w:t xml:space="preserve"> </w:t>
      </w:r>
      <w:r>
        <w:t xml:space="preserve">— production, remediation, quarantine, guest, and IoT lanes with distinct access rights</w:t>
      </w:r>
    </w:p>
    <w:p>
      <w:pPr>
        <w:pStyle w:val="Compact"/>
        <w:numPr>
          <w:ilvl w:val="0"/>
          <w:numId w:val="1017"/>
        </w:numPr>
      </w:pPr>
      <w:r>
        <w:rPr>
          <w:b/>
          <w:bCs/>
        </w:rPr>
        <w:t xml:space="preserve">DHCP fingerprinting</w:t>
      </w:r>
      <w:r>
        <w:t xml:space="preserve"> </w:t>
      </w:r>
      <w:r>
        <w:t xml:space="preserve">— device classification feeding IPAM as the authoritative device inventory</w:t>
      </w:r>
    </w:p>
    <w:p>
      <w:pPr>
        <w:pStyle w:val="Compact"/>
        <w:numPr>
          <w:ilvl w:val="0"/>
          <w:numId w:val="1017"/>
        </w:numPr>
      </w:pPr>
      <w:r>
        <w:rPr>
          <w:b/>
          <w:bCs/>
        </w:rPr>
        <w:t xml:space="preserve">NAC → ZTNA continuum</w:t>
      </w:r>
      <w:r>
        <w:t xml:space="preserve"> </w:t>
      </w:r>
      <w:r>
        <w:t xml:space="preserve">— posture asserted at the port evolves into posture asserted in the token (Vol I Book 03)</w:t>
      </w:r>
    </w:p>
    <w:p>
      <w:pPr>
        <w:pStyle w:val="FirstParagraph"/>
      </w:pPr>
      <w:r>
        <w:t xml:space="preserve">The book opens with the Voice VLAN precedent — DHCP option-based device steering as the earliest production proto-NAC — to ground the architecture in operational history before extending to the full EAP-TLS model.</w:t>
      </w:r>
    </w:p>
    <w:p>
      <w:pPr>
        <w:pStyle w:val="BodyText"/>
      </w:pPr>
      <w:r>
        <w:rPr>
          <w:b/>
          <w:bCs/>
        </w:rPr>
        <w:t xml:space="preserve">Controls closed:</w:t>
      </w:r>
      <w:r>
        <w:t xml:space="preserve"> </w:t>
      </w:r>
      <w:r>
        <w:t xml:space="preserve">IA-3, IA-3(1), AC-3, AC-17, AC-19, AC-20, SC-7(3),</w:t>
      </w:r>
      <w:r>
        <w:t xml:space="preserve"> </w:t>
      </w:r>
      <w:r>
        <w:t xml:space="preserve">SC-7(5), CM-6, CM-7, CM-8 — the IA-3 and CM-8 closures are necessity closures</w:t>
      </w:r>
      <w:r>
        <w:t xml:space="preserve"> </w:t>
      </w:r>
      <w:r>
        <w:t xml:space="preserve">(no scanner authenticates a port; you cannot inventory what you cannot</w:t>
      </w:r>
      <w:r>
        <w:t xml:space="preserve"> </w:t>
      </w:r>
      <w:r>
        <w:t xml:space="preserve">enumerate), and several deepen controls addressed at other layers in Vol I Books 01</w:t>
      </w:r>
      <w:r>
        <w:t xml:space="preserve"> </w:t>
      </w:r>
      <w:r>
        <w:t xml:space="preserve">and 05.</w:t>
      </w:r>
    </w:p>
    <w:bookmarkEnd w:id="44"/>
    <w:bookmarkEnd w:id="45"/>
    <w:bookmarkStart w:id="47" w:name="X549bb98c342e7f6115b2c641ce118f8f0c3273e"/>
    <w:p>
      <w:pPr>
        <w:pStyle w:val="Heading1"/>
      </w:pPr>
      <w:r>
        <w:t xml:space="preserve">Vol I Book 03 — Certificates &amp; Tokens: Cryptographic Identity</w:t>
      </w:r>
    </w:p>
    <w:bookmarkStart w:id="46" w:name="what-this-document-addresses-2"/>
    <w:p>
      <w:pPr>
        <w:pStyle w:val="Heading2"/>
      </w:pPr>
      <w:r>
        <w:t xml:space="preserve">What This Document Addresses</w:t>
      </w:r>
    </w:p>
    <w:p>
      <w:pPr>
        <w:pStyle w:val="FirstParagraph"/>
      </w:pPr>
      <w:r>
        <w:t xml:space="preserve">Domain-controller-tethered authentication died with the perimeter: Kerberos</w:t>
      </w:r>
      <w:r>
        <w:t xml:space="preserve"> </w:t>
      </w:r>
      <w:r>
        <w:t xml:space="preserve">depends on continuous reachability to a KDC, and under slow active-passive WAN</w:t>
      </w:r>
      <w:r>
        <w:t xml:space="preserve"> </w:t>
      </w:r>
      <w:r>
        <w:t xml:space="preserve">failover that dependency surfaces as the 30-to-45-second logon field offices</w:t>
      </w:r>
      <w:r>
        <w:t xml:space="preserve"> </w:t>
      </w:r>
      <w:r>
        <w:t xml:space="preserve">report when the path to the domain controller drops (Vol I Book 06 documents</w:t>
      </w:r>
      <w:r>
        <w:t xml:space="preserve"> </w:t>
      </w:r>
      <w:r>
        <w:t xml:space="preserve">the mechanism; active-active multipath removes the failover gap). The ticket</w:t>
      </w:r>
      <w:r>
        <w:t xml:space="preserve"> </w:t>
      </w:r>
      <w:r>
        <w:t xml:space="preserve">itself is not network-path-bound — Windows omits client addresses from tickets</w:t>
      </w:r>
      <w:r>
        <w:t xml:space="preserve"> </w:t>
      </w:r>
      <w:r>
        <w:t xml:space="preserve">by default — so the modernization case does not rest on ticket binding; it</w:t>
      </w:r>
      <w:r>
        <w:t xml:space="preserve"> </w:t>
      </w:r>
      <w:r>
        <w:t xml:space="preserve">rests on the deeper asymmetry: Kerberos needs a reachable DC, while a token</w:t>
      </w:r>
      <w:r>
        <w:t xml:space="preserve"> </w:t>
      </w:r>
      <w:r>
        <w:t xml:space="preserve">carries cryptographic authorization that survives any transport. Vol I Book 03</w:t>
      </w:r>
      <w:r>
        <w:t xml:space="preserve"> </w:t>
      </w:r>
      <w:r>
        <w:t xml:space="preserve">establishes what replaces it:</w:t>
      </w:r>
    </w:p>
    <w:p>
      <w:pPr>
        <w:pStyle w:val="Compact"/>
        <w:numPr>
          <w:ilvl w:val="0"/>
          <w:numId w:val="1018"/>
        </w:numPr>
      </w:pPr>
      <w:r>
        <w:rPr>
          <w:b/>
          <w:bCs/>
        </w:rPr>
        <w:t xml:space="preserve">PKI as a naming-plane function</w:t>
      </w:r>
      <w:r>
        <w:t xml:space="preserve"> </w:t>
      </w:r>
      <w:r>
        <w:t xml:space="preserve">— certificate issuance, revocation, CAA, and ACME DNS-01 live in the same substrate as Vol I Book 01’s DDI</w:t>
      </w:r>
    </w:p>
    <w:p>
      <w:pPr>
        <w:pStyle w:val="Compact"/>
        <w:numPr>
          <w:ilvl w:val="0"/>
          <w:numId w:val="1018"/>
        </w:numPr>
      </w:pPr>
      <w:r>
        <w:rPr>
          <w:b/>
          <w:bCs/>
        </w:rPr>
        <w:t xml:space="preserve">Certificate lifecycle automation</w:t>
      </w:r>
      <w:r>
        <w:t xml:space="preserve"> </w:t>
      </w:r>
      <w:r>
        <w:t xml:space="preserve">— short-lived certificates with automated ACME renewal; expiry linked to IP host records</w:t>
      </w:r>
    </w:p>
    <w:p>
      <w:pPr>
        <w:pStyle w:val="Compact"/>
        <w:numPr>
          <w:ilvl w:val="0"/>
          <w:numId w:val="1018"/>
        </w:numPr>
      </w:pPr>
      <w:r>
        <w:rPr>
          <w:b/>
          <w:bCs/>
        </w:rPr>
        <w:t xml:space="preserve">Token-based identity</w:t>
      </w:r>
      <w:r>
        <w:t xml:space="preserve"> </w:t>
      </w:r>
      <w:r>
        <w:t xml:space="preserve">— OAuth 2.0/OIDC, certificate-based authentication (CBA), and phishing-resistant MFA per BOD 25-01</w:t>
      </w:r>
    </w:p>
    <w:p>
      <w:pPr>
        <w:pStyle w:val="Compact"/>
        <w:numPr>
          <w:ilvl w:val="0"/>
          <w:numId w:val="1018"/>
        </w:numPr>
      </w:pPr>
      <w:r>
        <w:rPr>
          <w:b/>
          <w:bCs/>
        </w:rPr>
        <w:t xml:space="preserve">Machine and workload identity</w:t>
      </w:r>
      <w:r>
        <w:t xml:space="preserve"> </w:t>
      </w:r>
      <w:r>
        <w:t xml:space="preserve">— managed identity for non-human principals that cannot hold passwords</w:t>
      </w:r>
    </w:p>
    <w:p>
      <w:pPr>
        <w:pStyle w:val="FirstParagraph"/>
      </w:pPr>
      <w:r>
        <w:t xml:space="preserve">The SQL Server authentication modernization in Vol II Books 01–02 is a direct application of this book’s cryptographic identity doctrine to the database tier.</w:t>
      </w:r>
    </w:p>
    <w:p>
      <w:pPr>
        <w:pStyle w:val="BodyText"/>
      </w:pPr>
      <w:r>
        <w:rPr>
          <w:b/>
          <w:bCs/>
        </w:rPr>
        <w:t xml:space="preserve">Controls closed:</w:t>
      </w:r>
      <w:r>
        <w:t xml:space="preserve"> </w:t>
      </w:r>
      <w:r>
        <w:t xml:space="preserve">IA-5(2), SC-12, SC-17, IA-2(1), IA-2(2) — with the</w:t>
      </w:r>
      <w:r>
        <w:t xml:space="preserve"> </w:t>
      </w:r>
      <w:r>
        <w:t xml:space="preserve">cryptographic-identity substrate on which the Vol I Book 05 identity modernization</w:t>
      </w:r>
      <w:r>
        <w:t xml:space="preserve"> </w:t>
      </w:r>
      <w:r>
        <w:t xml:space="preserve">and Vol II Books 01–02 database closures stand.</w:t>
      </w:r>
    </w:p>
    <w:bookmarkEnd w:id="46"/>
    <w:bookmarkEnd w:id="47"/>
    <w:bookmarkStart w:id="49" w:name="Xceb05f7577347bc79d6db1d9a15a22ecd806a6f"/>
    <w:p>
      <w:pPr>
        <w:pStyle w:val="Heading1"/>
      </w:pPr>
      <w:r>
        <w:t xml:space="preserve">Vol I Book 04 — OPM HRIT and the Identity &amp; Organizational SSOT</w:t>
      </w:r>
    </w:p>
    <w:bookmarkStart w:id="48" w:name="what-this-document-addresses-3"/>
    <w:p>
      <w:pPr>
        <w:pStyle w:val="Heading2"/>
      </w:pPr>
      <w:r>
        <w:t xml:space="preserve">What This Document Addresses</w:t>
      </w:r>
    </w:p>
    <w:p>
      <w:pPr>
        <w:pStyle w:val="FirstParagraph"/>
      </w:pPr>
      <w:r>
        <w:t xml:space="preserve">Every account, token, and access decision in this architecture asserts</w:t>
      </w:r>
      <w:r>
        <w:t xml:space="preserve"> </w:t>
      </w:r>
      <w:r>
        <w:t xml:space="preserve">something about a person: who they are, whether they still work here, what</w:t>
      </w:r>
      <w:r>
        <w:t xml:space="preserve"> </w:t>
      </w:r>
      <w:r>
        <w:t xml:space="preserve">position they hold, and where they sit in the organization. Vol I Book 04 establishes</w:t>
      </w:r>
      <w:r>
        <w:t xml:space="preserve"> </w:t>
      </w:r>
      <w:r>
        <w:t xml:space="preserve">the system that makes those assertions true — Oracle HCM Cloud as the</w:t>
      </w:r>
      <w:r>
        <w:t xml:space="preserve"> </w:t>
      </w:r>
      <w:r>
        <w:t xml:space="preserve">authoritative source for worker identity and organizational structure:</w:t>
      </w:r>
    </w:p>
    <w:p>
      <w:pPr>
        <w:pStyle w:val="Compact"/>
        <w:numPr>
          <w:ilvl w:val="0"/>
          <w:numId w:val="1019"/>
        </w:numPr>
      </w:pPr>
      <w:r>
        <w:rPr>
          <w:b/>
          <w:bCs/>
        </w:rPr>
        <w:t xml:space="preserve">Joiner/mover/leaver lifecycle</w:t>
      </w:r>
      <w:r>
        <w:t xml:space="preserve"> </w:t>
      </w:r>
      <w:r>
        <w:t xml:space="preserve">— HR events drive same-day account creation, role change, and deprovisioning into Entra ID via SCIM</w:t>
      </w:r>
    </w:p>
    <w:p>
      <w:pPr>
        <w:pStyle w:val="Compact"/>
        <w:numPr>
          <w:ilvl w:val="0"/>
          <w:numId w:val="1019"/>
        </w:numPr>
      </w:pPr>
      <w:r>
        <w:rPr>
          <w:b/>
          <w:bCs/>
        </w:rPr>
        <w:t xml:space="preserve">Organizational SSOT</w:t>
      </w:r>
      <w:r>
        <w:t xml:space="preserve"> </w:t>
      </w:r>
      <w:r>
        <w:t xml:space="preserve">— supervisory hierarchy, positions, and cost centers as queryable records that derive dynamic groups and access packages instead of living in OU trees and static drawings</w:t>
      </w:r>
    </w:p>
    <w:p>
      <w:pPr>
        <w:pStyle w:val="Compact"/>
        <w:numPr>
          <w:ilvl w:val="0"/>
          <w:numId w:val="1019"/>
        </w:numPr>
      </w:pPr>
      <w:r>
        <w:rPr>
          <w:b/>
          <w:bCs/>
        </w:rPr>
        <w:t xml:space="preserve">Identifier management</w:t>
      </w:r>
      <w:r>
        <w:t xml:space="preserve"> </w:t>
      </w:r>
      <w:r>
        <w:t xml:space="preserve">— canonical identifiers anchored to the HR record flow through all downstream systems</w:t>
      </w:r>
    </w:p>
    <w:p>
      <w:pPr>
        <w:pStyle w:val="Compact"/>
        <w:numPr>
          <w:ilvl w:val="0"/>
          <w:numId w:val="1019"/>
        </w:numPr>
      </w:pPr>
      <w:r>
        <w:rPr>
          <w:b/>
          <w:bCs/>
        </w:rPr>
        <w:t xml:space="preserve">Identity-plane and naming-plane integration</w:t>
      </w:r>
      <w:r>
        <w:t xml:space="preserve"> </w:t>
      </w:r>
      <w:r>
        <w:t xml:space="preserve">— federation, SCIM provisioning, DNS, and evidence export make this a substrate function, not a hosting-track function</w:t>
      </w:r>
    </w:p>
    <w:p>
      <w:pPr>
        <w:pStyle w:val="FirstParagraph"/>
      </w:pPr>
      <w:r>
        <w:rPr>
          <w:b/>
          <w:bCs/>
        </w:rPr>
        <w:t xml:space="preserve">Controls closed:</w:t>
      </w:r>
      <w:r>
        <w:t xml:space="preserve"> </w:t>
      </w:r>
      <w:r>
        <w:t xml:space="preserve">AC-2, AC-2(1), PS-4, PS-5, IA-4, SI-12 — the AC-2 and</w:t>
      </w:r>
      <w:r>
        <w:t xml:space="preserve"> </w:t>
      </w:r>
      <w:r>
        <w:t xml:space="preserve">PS-4 closures are necessity closures: you cannot automate account lifecycle</w:t>
      </w:r>
      <w:r>
        <w:t xml:space="preserve"> </w:t>
      </w:r>
      <w:r>
        <w:t xml:space="preserve">from a source of truth that does not exist, and no scanner detects that</w:t>
      </w:r>
      <w:r>
        <w:t xml:space="preserve"> </w:t>
      </w:r>
      <w:r>
        <w:t xml:space="preserve">someone left — only the HR system knows, and only an event-driven feed makes</w:t>
      </w:r>
      <w:r>
        <w:t xml:space="preserve"> </w:t>
      </w:r>
      <w:r>
        <w:t xml:space="preserve">revocation same-day. Vol I Book 05’s structural dependency (</w:t>
      </w:r>
      <w:r>
        <w:t xml:space="preserve">“tokens work only if the</w:t>
      </w:r>
      <w:r>
        <w:t xml:space="preserve"> </w:t>
      </w:r>
      <w:r>
        <w:t xml:space="preserve">authorization they assert is correct”</w:t>
      </w:r>
      <w:r>
        <w:t xml:space="preserve">) resolves here.</w:t>
      </w:r>
    </w:p>
    <w:p>
      <w:r>
        <w:pict>
          <v:rect style="width:0;height:1.5pt" o:hralign="center" o:hrstd="t" o:hr="t"/>
        </w:pict>
      </w:r>
    </w:p>
    <w:bookmarkEnd w:id="48"/>
    <w:bookmarkEnd w:id="49"/>
    <w:bookmarkStart w:id="52" w:name="Xe27eeb29e7f4c18931a896bc28f4da836381473"/>
    <w:p>
      <w:pPr>
        <w:pStyle w:val="Heading1"/>
      </w:pPr>
      <w:r>
        <w:t xml:space="preserve">Vol I Book 05 — Network and Identity Modernization: Entra ID + ZTNA + Drift Reconciliation Closes 13 NIST Controls</w:t>
      </w:r>
    </w:p>
    <w:p>
      <w:pPr>
        <w:pStyle w:val="BlockText"/>
      </w:pPr>
      <w:r>
        <w:rPr>
          <w:b/>
          <w:bCs/>
        </w:rPr>
        <w:t xml:space="preserve">“Drift reconciliation”</w:t>
      </w:r>
      <w:r>
        <w:rPr>
          <w:b/>
          <w:bCs/>
        </w:rPr>
        <w:t xml:space="preserve"> </w:t>
      </w:r>
      <w:r>
        <w:rPr>
          <w:b/>
          <w:bCs/>
        </w:rPr>
        <w:t xml:space="preserve">is an architectural pattern, not a product.</w:t>
      </w:r>
      <w:r>
        <w:t xml:space="preserve"> </w:t>
      </w:r>
      <w:r>
        <w:t xml:space="preserve">Wherever it appears in this document’s technology columns, it names a control-plane role: continuously observe actual state, compare it to desired state, and emit machine-readable reconciliation records. Any conformance/reconciliation engine that satisfies that contract fills the role; no product selection is implied.</w:t>
      </w:r>
    </w:p>
    <w:bookmarkStart w:id="50" w:name="what-this-document-addresses-4"/>
    <w:p>
      <w:pPr>
        <w:pStyle w:val="Heading2"/>
      </w:pPr>
      <w:r>
        <w:t xml:space="preserve">What This Document Addresses</w:t>
      </w:r>
    </w:p>
    <w:p>
      <w:pPr>
        <w:pStyle w:val="FirstParagraph"/>
      </w:pPr>
      <w:r>
        <w:t xml:space="preserve">The agency’s authentication architecture was designed for a world where all users, all servers, and all applications were co-located inside a data center connected by a private network. Active Directory Kerberos assumes continuous line-of-sight to a domain controller — an assumption that holds inside a data center and degrades once client and server are separated by cloud, VPN, or a WAN whose path to the DC can fail; the logon experience, not the ticket, is what suffers. The agency now operates across four cloud environments simultaneously. The authentication model has not been updated to match.</w:t>
      </w:r>
    </w:p>
    <w:p>
      <w:pPr>
        <w:pStyle w:val="BodyText"/>
      </w:pPr>
      <w:r>
        <w:t xml:space="preserve">The four principles this document establishes are:</w:t>
      </w:r>
    </w:p>
    <w:p>
      <w:pPr>
        <w:pStyle w:val="Compact"/>
        <w:numPr>
          <w:ilvl w:val="0"/>
          <w:numId w:val="1020"/>
        </w:numPr>
      </w:pPr>
      <w:r>
        <w:rPr>
          <w:b/>
          <w:bCs/>
        </w:rPr>
        <w:t xml:space="preserve">Restore a single source of truth</w:t>
      </w:r>
      <w:r>
        <w:t xml:space="preserve"> </w:t>
      </w:r>
      <w:r>
        <w:t xml:space="preserve">— collapse twelve regional AD silos into one HR-derived authoritative identity model</w:t>
      </w:r>
    </w:p>
    <w:p>
      <w:pPr>
        <w:pStyle w:val="Compact"/>
        <w:numPr>
          <w:ilvl w:val="0"/>
          <w:numId w:val="1020"/>
        </w:numPr>
      </w:pPr>
      <w:r>
        <w:rPr>
          <w:b/>
          <w:bCs/>
        </w:rPr>
        <w:t xml:space="preserve">Deploy application-aware networking</w:t>
      </w:r>
      <w:r>
        <w:t xml:space="preserve"> </w:t>
      </w:r>
      <w:r>
        <w:t xml:space="preserve">— enforce policy at the application layer, not the IP/port layer</w:t>
      </w:r>
    </w:p>
    <w:p>
      <w:pPr>
        <w:pStyle w:val="Compact"/>
        <w:numPr>
          <w:ilvl w:val="0"/>
          <w:numId w:val="1020"/>
        </w:numPr>
      </w:pPr>
      <w:r>
        <w:rPr>
          <w:b/>
          <w:bCs/>
        </w:rPr>
        <w:t xml:space="preserve">Move from session-based to token-based identity</w:t>
      </w:r>
      <w:r>
        <w:t xml:space="preserve"> </w:t>
      </w:r>
      <w:r>
        <w:t xml:space="preserve">— replace Kerberos with Entra ID JWT tokens that carry cryptographic proof of authorization</w:t>
      </w:r>
    </w:p>
    <w:p>
      <w:pPr>
        <w:pStyle w:val="Compact"/>
        <w:numPr>
          <w:ilvl w:val="0"/>
          <w:numId w:val="1020"/>
        </w:numPr>
      </w:pPr>
      <w:r>
        <w:rPr>
          <w:b/>
          <w:bCs/>
        </w:rPr>
        <w:t xml:space="preserve">Implement drift reconciliation</w:t>
      </w:r>
      <w:r>
        <w:t xml:space="preserve"> </w:t>
      </w:r>
      <w:r>
        <w:t xml:space="preserve">— a control plane that holds desired state, observes actual state, classifies drift, and reconciles toward intent while generating machine-readable evidence continuously</w:t>
      </w:r>
    </w:p>
    <w:bookmarkEnd w:id="50"/>
    <w:bookmarkStart w:id="51" w:name="nist-control-closure-vol-i-book-05"/>
    <w:p>
      <w:pPr>
        <w:pStyle w:val="Heading2"/>
      </w:pPr>
      <w:r>
        <w:t xml:space="preserve">NIST Control Closure — Vol I Book 05</w:t>
      </w:r>
    </w:p>
    <w:p>
      <w:pPr>
        <w:pStyle w:val="TableCaption"/>
      </w:pPr>
      <w:r>
        <w:t xml:space="preserve">Vol I Book 05 — NIST SP 800-53 Rev 5 Control Closure: Entra ID + ZTNA + Drift Reconciliation</w:t>
      </w:r>
    </w:p>
    <w:tbl>
      <w:tblPr>
        <w:tblStyle w:val="Table"/>
        <w:tblW w:type="pct" w:w="5000"/>
        <w:tblLayout w:type="fixed"/>
        <w:tblLook w:firstRow="1" w:lastRow="0" w:firstColumn="0" w:lastColumn="0" w:noHBand="0" w:noVBand="0" w:val="0020"/>
        <w:tblCaption w:val="Vol I Book 05 — NIST SP 800-53 Rev 5 Control Closure: Entra ID + ZTNA + Drift Reconcili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Modernization</w:t>
            </w:r>
          </w:p>
        </w:tc>
        <w:tc>
          <w:tcPr/>
          <w:p>
            <w:pPr>
              <w:pStyle w:val="Compact"/>
            </w:pPr>
            <w:r>
              <w:t xml:space="preserve">With Entra ID + ZTNA + Drift Reconciliation</w:t>
            </w:r>
          </w:p>
        </w:tc>
        <w:tc>
          <w:tcPr/>
          <w:p>
            <w:pPr>
              <w:pStyle w:val="Compact"/>
            </w:pPr>
            <w:r>
              <w:t xml:space="preserve">Authority</w:t>
            </w:r>
          </w:p>
        </w:tc>
      </w:tr>
      <w:tr>
        <w:tc>
          <w:tcPr/>
          <w:p>
            <w:pPr>
              <w:pStyle w:val="Compact"/>
            </w:pPr>
            <w:r>
              <w:rPr>
                <w:b/>
                <w:bCs/>
              </w:rPr>
              <w:t xml:space="preserve">IA-2 / IA-2(1)</w:t>
            </w:r>
          </w:p>
        </w:tc>
        <w:tc>
          <w:tcPr/>
          <w:p>
            <w:pPr>
              <w:pStyle w:val="Compact"/>
            </w:pPr>
            <w:r>
              <w:t xml:space="preserve">Identification and Authentication / Multi-factor Authentication to Privileged Accounts</w:t>
            </w:r>
          </w:p>
        </w:tc>
        <w:tc>
          <w:tcPr/>
          <w:p>
            <w:pPr>
              <w:pStyle w:val="Compact"/>
            </w:pPr>
            <w:r>
              <w:t xml:space="preserve">Entra ID Conditional Access</w:t>
            </w:r>
          </w:p>
        </w:tc>
        <w:tc>
          <w:tcPr/>
          <w:p>
            <w:pPr>
              <w:pStyle w:val="Compact"/>
            </w:pPr>
            <w:r>
              <w:t xml:space="preserve">Kerberos-based authentication; MFA optional and inconsistently applied; NTLM fallback generates opaque, unauditable authentication events</w:t>
            </w:r>
          </w:p>
        </w:tc>
        <w:tc>
          <w:tcPr/>
          <w:p>
            <w:pPr>
              <w:pStyle w:val="Compact"/>
            </w:pPr>
            <w:r>
              <w:t xml:space="preserve">Entra ID Conditional Access enforces phishing-resistant MFA (CBA/FIDO2) for every access request; NTLM eliminated; every authentication event generates a structured log</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Intune MDM + Conditional Access</w:t>
            </w:r>
          </w:p>
        </w:tc>
        <w:tc>
          <w:tcPr/>
          <w:p>
            <w:pPr>
              <w:pStyle w:val="Compact"/>
            </w:pPr>
            <w:r>
              <w:t xml:space="preserve">Device identity derived from AD computer object; no compliance posture check; non-compliant devices indistinguishable from compliant</w:t>
            </w:r>
          </w:p>
        </w:tc>
        <w:tc>
          <w:tcPr/>
          <w:p>
            <w:pPr>
              <w:pStyle w:val="Compact"/>
            </w:pPr>
            <w:r>
              <w:t xml:space="preserve">Intune MDM posture fed to Conditional Access as input to every access decision; non-compliant devices denied access regardless of user credential validity</w:t>
            </w:r>
          </w:p>
        </w:tc>
        <w:tc>
          <w:tcPr/>
          <w:p>
            <w:pPr>
              <w:pStyle w:val="Compact"/>
            </w:pPr>
            <w:r>
              <w:t xml:space="preserve">OMB M-22-09 §3; CISA ZTMM Devices pillar</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CBA Pipeline</w:t>
            </w:r>
          </w:p>
        </w:tc>
        <w:tc>
          <w:tcPr/>
          <w:p>
            <w:pPr>
              <w:pStyle w:val="Compact"/>
            </w:pPr>
            <w:r>
              <w:t xml:space="preserve">Kerberos ticket lifecycle managed implicitly; no structured credential inventory; password policy inconsistent across twelve regional domains</w:t>
            </w:r>
          </w:p>
        </w:tc>
        <w:tc>
          <w:tcPr/>
          <w:p>
            <w:pPr>
              <w:pStyle w:val="Compact"/>
            </w:pPr>
            <w:r>
              <w:t xml:space="preserve">Entra ID manages credential lifecycle centrally; CBA certificates issued and revoked via structured pipeline; phishing-resistant credentials enforced by policy</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ID + OPM HRIT Integration</w:t>
            </w:r>
          </w:p>
        </w:tc>
        <w:tc>
          <w:tcPr/>
          <w:p>
            <w:pPr>
              <w:pStyle w:val="Compact"/>
            </w:pPr>
            <w:r>
              <w:t xml:space="preserve">AD accounts managed per-region; no authoritative HR-derived source; orphaned accounts persist after offboarding; twelve regional OU trees with no unified view</w:t>
            </w:r>
          </w:p>
        </w:tc>
        <w:tc>
          <w:tcPr/>
          <w:p>
            <w:pPr>
              <w:pStyle w:val="Compact"/>
            </w:pPr>
            <w:r>
              <w:t xml:space="preserve">HR system drives authoritative account lifecycle (create, modify, deprovision) via OPM HRIT integration; every account traceable to an authoritative HR record; orphan account detection automated</w:t>
            </w:r>
          </w:p>
        </w:tc>
        <w:tc>
          <w:tcPr/>
          <w:p>
            <w:pPr>
              <w:pStyle w:val="Compact"/>
            </w:pPr>
            <w:r>
              <w:t xml:space="preserve">FICAM Architecture; Evidence Act (2018)</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ZTNA — Per-session Policy</w:t>
            </w:r>
          </w:p>
        </w:tc>
        <w:tc>
          <w:tcPr/>
          <w:p>
            <w:pPr>
              <w:pStyle w:val="Compact"/>
            </w:pPr>
            <w:r>
              <w:t xml:space="preserve">Access rights encoded in regional OU structure; no per-session verification; once authenticated, access determined by static group membership</w:t>
            </w:r>
          </w:p>
        </w:tc>
        <w:tc>
          <w:tcPr/>
          <w:p>
            <w:pPr>
              <w:pStyle w:val="Compact"/>
            </w:pPr>
            <w:r>
              <w:t xml:space="preserve">ZTNA enforces per-session, per-application access based on real-time identity, device posture, and data classification; no standing access; least-privilege enforced per request</w:t>
            </w:r>
          </w:p>
        </w:tc>
        <w:tc>
          <w:tcPr/>
          <w:p>
            <w:pPr>
              <w:pStyle w:val="Compact"/>
            </w:pPr>
            <w:r>
              <w:t xml:space="preserve">NIST SP 800-207; OMB M-22-09</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ZTNA Stack</w:t>
            </w:r>
          </w:p>
        </w:tc>
        <w:tc>
          <w:tcPr/>
          <w:p>
            <w:pPr>
              <w:pStyle w:val="Compact"/>
            </w:pPr>
            <w:r>
              <w:t xml:space="preserve">Network perimeter as primary enforcement boundary; application identity not verified at network layer</w:t>
            </w:r>
          </w:p>
        </w:tc>
        <w:tc>
          <w:tcPr/>
          <w:p>
            <w:pPr>
              <w:pStyle w:val="Compact"/>
            </w:pPr>
            <w:r>
              <w:t xml:space="preserve">SASE/ZTNA stack enforces application-layer policy; user identity, device posture, application, and data type all present at enforcement point</w:t>
            </w:r>
          </w:p>
        </w:tc>
        <w:tc>
          <w:tcPr/>
          <w:p>
            <w:pPr>
              <w:pStyle w:val="Compact"/>
            </w:pPr>
            <w:r>
              <w:t xml:space="preserve">NIST SP 800-207; TIC 3.0 Use Cases E/F</w:t>
            </w:r>
          </w:p>
        </w:tc>
      </w:tr>
      <w:tr>
        <w:tc>
          <w:tcPr/>
          <w:p>
            <w:pPr>
              <w:pStyle w:val="Compact"/>
            </w:pPr>
            <w:r>
              <w:rPr>
                <w:b/>
                <w:bCs/>
              </w:rPr>
              <w:t xml:space="preserve">AC-17</w:t>
            </w:r>
          </w:p>
        </w:tc>
        <w:tc>
          <w:tcPr/>
          <w:p>
            <w:pPr>
              <w:pStyle w:val="Compact"/>
            </w:pPr>
            <w:r>
              <w:t xml:space="preserve">Remote Access</w:t>
            </w:r>
          </w:p>
        </w:tc>
        <w:tc>
          <w:tcPr/>
          <w:p>
            <w:pPr>
              <w:pStyle w:val="Compact"/>
            </w:pPr>
            <w:r>
              <w:t xml:space="preserve">ZTNA — Micro-tunnels</w:t>
            </w:r>
          </w:p>
        </w:tc>
        <w:tc>
          <w:tcPr/>
          <w:p>
            <w:pPr>
              <w:pStyle w:val="Compact"/>
            </w:pPr>
            <w:r>
              <w:t xml:space="preserve">VPN extends network trust to remote users; compromised endpoint inside VPN has same access as trusted administrator</w:t>
            </w:r>
          </w:p>
        </w:tc>
        <w:tc>
          <w:tcPr/>
          <w:p>
            <w:pPr>
              <w:pStyle w:val="Compact"/>
            </w:pPr>
            <w:r>
              <w:t xml:space="preserve">ZTNA replaces VPN; per-application micro-tunnels established per-session; compromised endpoint gains access only to the specific application authorized for that session</w:t>
            </w:r>
          </w:p>
        </w:tc>
        <w:tc>
          <w:tcPr/>
          <w:p>
            <w:pPr>
              <w:pStyle w:val="Compact"/>
            </w:pPr>
            <w:r>
              <w:t xml:space="preserve">OMB M-22-09 §4; CISA ZTMM Networks pillar</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Drift-Reconciliation Control Plane</w:t>
            </w:r>
          </w:p>
        </w:tc>
        <w:tc>
          <w:tcPr/>
          <w:p>
            <w:pPr>
              <w:pStyle w:val="Compact"/>
            </w:pPr>
            <w:r>
              <w:t xml:space="preserve">Device inventory derived from AD computer objects; SDN environments not covered; four environments with no unified view</w:t>
            </w:r>
          </w:p>
        </w:tc>
        <w:tc>
          <w:tcPr/>
          <w:p>
            <w:pPr>
              <w:pStyle w:val="Compact"/>
            </w:pPr>
            <w:r>
              <w:t xml:space="preserve">drift-reconciliation control plane maintains authoritative device inventory across all four environments; IPAM integration adds IP-to-device-to-user linkage</w:t>
            </w:r>
          </w:p>
        </w:tc>
        <w:tc>
          <w:tcPr/>
          <w:p>
            <w:pPr>
              <w:pStyle w:val="Compact"/>
            </w:pPr>
            <w:r>
              <w:t xml:space="preserve">NIST SP 800-53 Rev 5 CM-8; Federal Data Strategy</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Entra ID OPM HRIT + SSOT</w:t>
            </w:r>
          </w:p>
        </w:tc>
        <w:tc>
          <w:tcPr/>
          <w:p>
            <w:pPr>
              <w:pStyle w:val="Compact"/>
            </w:pPr>
            <w:r>
              <w:t xml:space="preserve">No authoritative data lineage; regional databases with incompatible schemas; no cross-region reconciliation</w:t>
            </w:r>
          </w:p>
        </w:tc>
        <w:tc>
          <w:tcPr/>
          <w:p>
            <w:pPr>
              <w:pStyle w:val="Compact"/>
            </w:pPr>
            <w:r>
              <w:t xml:space="preserve">Single source of truth with documented data lineage from authoritative source to downstream consumer; Evidence Act compliance achieved</w:t>
            </w:r>
          </w:p>
        </w:tc>
        <w:tc>
          <w:tcPr/>
          <w:p>
            <w:pPr>
              <w:pStyle w:val="Compact"/>
            </w:pPr>
            <w:r>
              <w:t xml:space="preserve">Evidence Act (2018); NIST SP 800-53 Rev 5 SI-12</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ID + ZTNA Session Logs</w:t>
            </w:r>
          </w:p>
        </w:tc>
        <w:tc>
          <w:tcPr/>
          <w:p>
            <w:pPr>
              <w:pStyle w:val="Compact"/>
            </w:pPr>
            <w:r>
              <w:t xml:space="preserve">Authentication events opaque (NTLM); application-layer actions not captured; no structured audit trail linking user to action to data</w:t>
            </w:r>
          </w:p>
        </w:tc>
        <w:tc>
          <w:tcPr/>
          <w:p>
            <w:pPr>
              <w:pStyle w:val="Compact"/>
            </w:pPr>
            <w:r>
              <w:t xml:space="preserve">Every Entra ID authentication event structured and queryable; every ZTNA session record includes user, device, application, action, data type, timestamp; machine-readable</w:t>
            </w:r>
          </w:p>
        </w:tc>
        <w:tc>
          <w:tcPr/>
          <w:p>
            <w:pPr>
              <w:pStyle w:val="Compact"/>
            </w:pPr>
            <w:r>
              <w:t xml:space="preserve">NIST SP 800-53 Rev 5 AU-2, AU-12; FedRAMP 20x KSIs</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Drift-Reconciliation Control Plane</w:t>
            </w:r>
          </w:p>
        </w:tc>
        <w:tc>
          <w:tcPr/>
          <w:p>
            <w:pPr>
              <w:pStyle w:val="Compact"/>
            </w:pPr>
            <w:r>
              <w:t xml:space="preserve">Point-in-time assessments; no automated detection of configuration drift from authorized baseline</w:t>
            </w:r>
          </w:p>
        </w:tc>
        <w:tc>
          <w:tcPr/>
          <w:p>
            <w:pPr>
              <w:pStyle w:val="Compact"/>
            </w:pPr>
            <w:r>
              <w:t xml:space="preserve">The drift-reconciliation control plane observes actual state continuously, classifies deviation as drift, and generates machine-readable reconciliation records; desired-vs-actual gap is the ConMon artifact</w:t>
            </w:r>
          </w:p>
        </w:tc>
        <w:tc>
          <w:tcPr/>
          <w:p>
            <w:pPr>
              <w:pStyle w:val="Compact"/>
            </w:pPr>
            <w:r>
              <w:t xml:space="preserve">NIST SP 800-37 Rev 2 CA-7; FedRAMP 20x Consolidated Rules</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ZTNA + DNS</w:t>
            </w:r>
          </w:p>
        </w:tc>
        <w:tc>
          <w:tcPr/>
          <w:p>
            <w:pPr>
              <w:pStyle w:val="Compact"/>
            </w:pPr>
            <w:r>
              <w:t xml:space="preserve">Network perimeter as boundary; application-layer exfiltration undetected</w:t>
            </w:r>
          </w:p>
        </w:tc>
        <w:tc>
          <w:tcPr/>
          <w:p>
            <w:pPr>
              <w:pStyle w:val="Compact"/>
            </w:pPr>
            <w:r>
              <w:t xml:space="preserve">Application-aware boundary enforcement; SASE inspects all egress traffic at application layer; DNS-layer boundary enforcement via RPZ</w:t>
            </w:r>
          </w:p>
        </w:tc>
        <w:tc>
          <w:tcPr/>
          <w:p>
            <w:pPr>
              <w:pStyle w:val="Compact"/>
            </w:pPr>
            <w:r>
              <w:t xml:space="preserve">NIST SP 800-207; TIC 3.0</w:t>
            </w:r>
          </w:p>
        </w:tc>
      </w:tr>
      <w:tr>
        <w:tc>
          <w:tcPr/>
          <w:p>
            <w:pPr>
              <w:pStyle w:val="Compact"/>
            </w:pPr>
            <w:r>
              <w:rPr>
                <w:b/>
                <w:bCs/>
              </w:rPr>
              <w:t xml:space="preserve">SC-20 / SC-21</w:t>
            </w:r>
          </w:p>
        </w:tc>
        <w:tc>
          <w:tcPr/>
          <w:p>
            <w:pPr>
              <w:pStyle w:val="Compact"/>
            </w:pPr>
            <w:r>
              <w:t xml:space="preserve">Secure Name/Address Resolution Service (Authoritative Source / Recursive or Caching Resolver)</w:t>
            </w:r>
          </w:p>
        </w:tc>
        <w:tc>
          <w:tcPr/>
          <w:p>
            <w:pPr>
              <w:pStyle w:val="Compact"/>
            </w:pPr>
            <w:r>
              <w:t xml:space="preserve">Drift Reconciliation + InfoBlox</w:t>
            </w:r>
          </w:p>
        </w:tc>
        <w:tc>
          <w:tcPr/>
          <w:p>
            <w:pPr>
              <w:pStyle w:val="Compact"/>
            </w:pPr>
            <w:r>
              <w:t xml:space="preserve">DNS security dependent on per-environment tools with no unified policy</w:t>
            </w:r>
          </w:p>
        </w:tc>
        <w:tc>
          <w:tcPr/>
          <w:p>
            <w:pPr>
              <w:pStyle w:val="Compact"/>
            </w:pPr>
            <w:r>
              <w:t xml:space="preserve">Unified DNS security enforced via governance control plane; DNSSEC and RPZ applied consistently across all environments</w:t>
            </w:r>
          </w:p>
        </w:tc>
        <w:tc>
          <w:tcPr/>
          <w:p>
            <w:pPr>
              <w:pStyle w:val="Compact"/>
            </w:pPr>
            <w:r>
              <w:t xml:space="preserve">NIST SP 800-53 Rev 5 SC-20, SC-21</w:t>
            </w:r>
          </w:p>
        </w:tc>
      </w:tr>
    </w:tbl>
    <w:p>
      <w:pPr>
        <w:pStyle w:val="BodyText"/>
      </w:pPr>
      <w:r>
        <w:rPr>
          <w:b/>
          <w:bCs/>
        </w:rPr>
        <w:t xml:space="preserve">Controls closed: 13</w:t>
      </w:r>
      <w:r>
        <w:t xml:space="preserve"> </w:t>
      </w:r>
      <w:r>
        <w:t xml:space="preserve">(IA-2/IA-2(1), IA-3, IA-5, AC-2, AC-3, AC-4, AC-17, CM-8, SI-12, AU-2/AU-12, CA-7, SC-7, SC-20/SC-21)</w:t>
      </w:r>
    </w:p>
    <w:p>
      <w:pPr>
        <w:pStyle w:val="BlockText"/>
      </w:pPr>
      <w:r>
        <w:rPr>
          <w:b/>
          <w:bCs/>
        </w:rPr>
        <w:t xml:space="preserve">The structural dependency:</w:t>
      </w:r>
      <w:r>
        <w:t xml:space="preserve"> </w:t>
      </w:r>
      <w:r>
        <w:t xml:space="preserve">Principle 3 (token-based identity) depends on Principle 1 (single source of truth). Tokens work only if the authorization they assert is correct. Replacing Kerberos with Entra ID tokens while the underlying authorization model remains encoded in twelve regional OU trees with no HR-derived source means signing broken authorizations efficiently. The SSOT restoration is not a prerequisite to schedule later — it is the prerequisite that all other controls depend on.</w:t>
      </w:r>
    </w:p>
    <w:p>
      <w:r>
        <w:pict>
          <v:rect style="width:0;height:1.5pt" o:hralign="center" o:hrstd="t" o:hr="t"/>
        </w:pict>
      </w:r>
    </w:p>
    <w:bookmarkEnd w:id="51"/>
    <w:bookmarkEnd w:id="52"/>
    <w:bookmarkStart w:id="55" w:name="X40b9a6bf6b69d57b355b35be8caf62365886f31"/>
    <w:p>
      <w:pPr>
        <w:pStyle w:val="Heading1"/>
      </w:pPr>
      <w:r>
        <w:t xml:space="preserve">Vol I Book 06 — Telecommunications Modernization: SD-WAN + SASE Closes 7 NIST Controls</w:t>
      </w:r>
    </w:p>
    <w:bookmarkStart w:id="53" w:name="what-this-document-addresses-5"/>
    <w:p>
      <w:pPr>
        <w:pStyle w:val="Heading2"/>
      </w:pPr>
      <w:r>
        <w:t xml:space="preserve">What This Document Addresses</w:t>
      </w:r>
    </w:p>
    <w:p>
      <w:pPr>
        <w:pStyle w:val="FirstParagraph"/>
      </w:pPr>
      <w:r>
        <w:t xml:space="preserve">The agency operates two telecommunications platforms with shared network dependencies:</w:t>
      </w:r>
      <w:r>
        <w:t xml:space="preserve"> </w:t>
      </w:r>
      <w:r>
        <w:rPr>
          <w:b/>
          <w:bCs/>
        </w:rPr>
        <w:t xml:space="preserve">Amazon Connect</w:t>
      </w:r>
      <w:r>
        <w:t xml:space="preserve"> </w:t>
      </w:r>
      <w:r>
        <w:t xml:space="preserve">(the N8NN national inbound contact center, running on AWS commercial by specific authorized exception) and</w:t>
      </w:r>
      <w:r>
        <w:t xml:space="preserve"> </w:t>
      </w:r>
      <w:r>
        <w:rPr>
          <w:b/>
          <w:bCs/>
        </w:rPr>
        <w:t xml:space="preserve">Microsoft Teams Phone</w:t>
      </w:r>
      <w:r>
        <w:t xml:space="preserve"> </w:t>
      </w:r>
      <w:r>
        <w:t xml:space="preserve">(the internal unified communications replacement for PBX). Both platforms fail ITU-T G.114 voice quality thresholds under current MPLS hairpin architecture — field offices in western locations exceed the 150ms one-way delay limit before a call is connected.</w:t>
      </w:r>
    </w:p>
    <w:p>
      <w:pPr>
        <w:pStyle w:val="BodyText"/>
      </w:pPr>
      <w:r>
        <w:t xml:space="preserve">DIA (Direct Internet Access) circuits at field offices solve the latency problem by eliminating the geographic hairpin. However,</w:t>
      </w:r>
      <w:r>
        <w:t xml:space="preserve"> </w:t>
      </w:r>
      <w:r>
        <w:rPr>
          <w:b/>
          <w:bCs/>
        </w:rPr>
        <w:t xml:space="preserve">DIA alone satisfies zero NIST controls.</w:t>
      </w:r>
      <w:r>
        <w:t xml:space="preserve"> </w:t>
      </w:r>
      <w:r>
        <w:t xml:space="preserve">DIA is a pipe. The NIST control requirements for information flow enforcement, boundary protection, transmission confidentiality, malware protection, system monitoring, audit logging, and continuous monitoring are satisfied by the SASE and SD-WAN control stack that governs the pipe — not by the pipe itself. And under TIC 3.0, the relationship is not advisory: DIA requires a distributed enforcement point providing protection</w:t>
      </w:r>
      <w:r>
        <w:t xml:space="preserve"> </w:t>
      </w:r>
      <w:r>
        <w:rPr>
          <w:i/>
          <w:iCs/>
        </w:rPr>
        <w:t xml:space="preserve">commensurate with the agency’s risk tolerance</w:t>
      </w:r>
      <w:r>
        <w:t xml:space="preserve"> </w:t>
      </w:r>
      <w:r>
        <w:t xml:space="preserve">— in practice the applicable security-capabilities catalog entries. The three-step form of this argument — what DIA solves, what it satisfies, what bare DIA breaks — is stated in</w:t>
      </w:r>
      <w:r>
        <w:t xml:space="preserve"> </w:t>
      </w:r>
      <w:r>
        <w:rPr>
          <w:i/>
          <w:iCs/>
        </w:rPr>
        <w:t xml:space="preserve">The Closure Necessity Doctrine</w:t>
      </w:r>
      <w:r>
        <w:t xml:space="preserve"> </w:t>
      </w:r>
      <w:r>
        <w:t xml:space="preserve">above.</w:t>
      </w:r>
    </w:p>
    <w:bookmarkEnd w:id="53"/>
    <w:bookmarkStart w:id="54" w:name="nist-control-closure-vol-i-book-06"/>
    <w:p>
      <w:pPr>
        <w:pStyle w:val="Heading2"/>
      </w:pPr>
      <w:r>
        <w:t xml:space="preserve">NIST Control Closure — Vol I Book 06</w:t>
      </w:r>
    </w:p>
    <w:p>
      <w:pPr>
        <w:pStyle w:val="TableCaption"/>
      </w:pPr>
      <w:r>
        <w:t xml:space="preserve">Vol I Book 06 — NIST SP 800-53 Rev 5 Control Closure: SD-WAN + SASE for Telecommunications</w:t>
      </w:r>
    </w:p>
    <w:tbl>
      <w:tblPr>
        <w:tblStyle w:val="Table"/>
        <w:tblW w:type="pct" w:w="5000"/>
        <w:tblLayout w:type="fixed"/>
        <w:tblLook w:firstRow="1" w:lastRow="0" w:firstColumn="0" w:lastColumn="0" w:noHBand="0" w:noVBand="0" w:val="0020"/>
        <w:tblCaption w:val="Vol I Book 06 — NIST SP 800-53 Rev 5 Control Closure: SD-WAN + SASE for Telecommunication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SD-WAN / SASE</w:t>
            </w:r>
          </w:p>
        </w:tc>
        <w:tc>
          <w:tcPr/>
          <w:p>
            <w:pPr>
              <w:pStyle w:val="Compact"/>
            </w:pPr>
            <w:r>
              <w:t xml:space="preserve">With SD-WAN / SASE Stack</w:t>
            </w:r>
          </w:p>
        </w:tc>
        <w:tc>
          <w:tcPr/>
          <w:p>
            <w:pPr>
              <w:pStyle w:val="Compact"/>
            </w:pPr>
            <w:r>
              <w:t xml:space="preserve">What Provides It</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CASB</w:t>
            </w:r>
          </w:p>
        </w:tc>
        <w:tc>
          <w:tcPr/>
          <w:p>
            <w:pPr>
              <w:pStyle w:val="Compact"/>
            </w:pPr>
            <w:r>
              <w:t xml:space="preserve">Traffic inspected at IP/port layer only; application identity unknown; GCC vs. commercial M365 indistinguishable at network layer</w:t>
            </w:r>
          </w:p>
        </w:tc>
        <w:tc>
          <w:tcPr/>
          <w:p>
            <w:pPr>
              <w:pStyle w:val="Compact"/>
            </w:pPr>
            <w:r>
              <w:t xml:space="preserve">Application-layer identification of destination application, data type, and boundary classification; GCC vs. commercial distinguished and enforced</w:t>
            </w:r>
          </w:p>
        </w:tc>
        <w:tc>
          <w:tcPr/>
          <w:p>
            <w:pPr>
              <w:pStyle w:val="Compact"/>
            </w:pPr>
            <w:r>
              <w:t xml:space="preserve">CASB in SASE stack</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SWG / FWaaS</w:t>
            </w:r>
          </w:p>
        </w:tc>
        <w:tc>
          <w:tcPr/>
          <w:p>
            <w:pPr>
              <w:pStyle w:val="Compact"/>
            </w:pPr>
            <w:r>
              <w:t xml:space="preserve">No application-layer inspection on DIA path; C2 traffic on port 443 indistinguishable from legitimate HTTPS; DNS exfiltration undetected</w:t>
            </w:r>
          </w:p>
        </w:tc>
        <w:tc>
          <w:tcPr/>
          <w:p>
            <w:pPr>
              <w:pStyle w:val="Compact"/>
            </w:pPr>
            <w:r>
              <w:t xml:space="preserve">Application-layer inspection at every DIA egress point; SWG detects C2 on standard ports, DNS exfiltration, and data loss patterns</w:t>
            </w:r>
          </w:p>
        </w:tc>
        <w:tc>
          <w:tcPr/>
          <w:p>
            <w:pPr>
              <w:pStyle w:val="Compact"/>
            </w:pPr>
            <w:r>
              <w:t xml:space="preserve">SWG / FWaaS in SASE stack</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SD-WAN — IPsec</w:t>
            </w:r>
          </w:p>
        </w:tc>
        <w:tc>
          <w:tcPr/>
          <w:p>
            <w:pPr>
              <w:pStyle w:val="Compact"/>
            </w:pPr>
            <w:r>
              <w:t xml:space="preserve">DIA circuit is unencrypted at the network layer; FIPS-validated application-layer TLS closes SC-8 only per flow — non-TLS flows (DNS, legacy protocols, misconfigured applications) ride bare, and closure must be attested flow by flow</w:t>
            </w:r>
          </w:p>
        </w:tc>
        <w:tc>
          <w:tcPr/>
          <w:p>
            <w:pPr>
              <w:pStyle w:val="Compact"/>
            </w:pPr>
            <w:r>
              <w:t xml:space="preserve">SD-WAN IPsec tunnel encrypts every flow on the circuit at the network layer, regardless of each application’s TLS state</w:t>
            </w:r>
          </w:p>
        </w:tc>
        <w:tc>
          <w:tcPr/>
          <w:p>
            <w:pPr>
              <w:pStyle w:val="Compact"/>
            </w:pPr>
            <w:r>
              <w:t xml:space="preserve">SD-WAN IPsec overlay</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SASE — SWG SSL Inspection</w:t>
            </w:r>
          </w:p>
        </w:tc>
        <w:tc>
          <w:tcPr/>
          <w:p>
            <w:pPr>
              <w:pStyle w:val="Compact"/>
            </w:pPr>
            <w:r>
              <w:t xml:space="preserve">No inline malware inspection on DIA path; malware reaches endpoints before detection</w:t>
            </w:r>
          </w:p>
        </w:tc>
        <w:tc>
          <w:tcPr/>
          <w:p>
            <w:pPr>
              <w:pStyle w:val="Compact"/>
            </w:pPr>
            <w:r>
              <w:t xml:space="preserve">SSL inspection and malware scanning inline at SASE PoP nearest to field office; sub-100ms inspection latency</w:t>
            </w:r>
          </w:p>
        </w:tc>
        <w:tc>
          <w:tcPr/>
          <w:p>
            <w:pPr>
              <w:pStyle w:val="Compact"/>
            </w:pPr>
            <w:r>
              <w:t xml:space="preserve">SWG with SSL inspection in SASE stack</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SD-WAN — AAN Telemetry</w:t>
            </w:r>
          </w:p>
        </w:tc>
        <w:tc>
          <w:tcPr/>
          <w:p>
            <w:pPr>
              <w:pStyle w:val="Compact"/>
            </w:pPr>
            <w:r>
              <w:t xml:space="preserve">IP flow logs available; application-layer behavior (user, device, application, data type, action) not captured</w:t>
            </w:r>
          </w:p>
        </w:tc>
        <w:tc>
          <w:tcPr/>
          <w:p>
            <w:pPr>
              <w:pStyle w:val="Compact"/>
            </w:pPr>
            <w:r>
              <w:t xml:space="preserve">Application-layer telemetry captures user identity, device posture, application accessed, data type, and behavioral pattern per session</w:t>
            </w:r>
          </w:p>
        </w:tc>
        <w:tc>
          <w:tcPr/>
          <w:p>
            <w:pPr>
              <w:pStyle w:val="Compact"/>
            </w:pPr>
            <w:r>
              <w:t xml:space="preserve">AAN application-layer telemetry</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SASE — Session Logging</w:t>
            </w:r>
          </w:p>
        </w:tc>
        <w:tc>
          <w:tcPr/>
          <w:p>
            <w:pPr>
              <w:pStyle w:val="Compact"/>
            </w:pPr>
            <w:r>
              <w:t xml:space="preserve">IP flow logs record source IP, destination IP, port, bytes; user identity, application, action, and data type absent from logs</w:t>
            </w:r>
          </w:p>
        </w:tc>
        <w:tc>
          <w:tcPr/>
          <w:p>
            <w:pPr>
              <w:pStyle w:val="Compact"/>
            </w:pPr>
            <w:r>
              <w:t xml:space="preserve">Every session record includes: user identity (from IdP), device posture (from MDM), application (from DPI), action, data type, timestamp — structured, queryable</w:t>
            </w:r>
          </w:p>
        </w:tc>
        <w:tc>
          <w:tcPr/>
          <w:p>
            <w:pPr>
              <w:pStyle w:val="Compact"/>
            </w:pPr>
            <w:r>
              <w:t xml:space="preserve">AAN logging via SASE stack</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SASE — Per-session Records</w:t>
            </w:r>
          </w:p>
        </w:tc>
        <w:tc>
          <w:tcPr/>
          <w:p>
            <w:pPr>
              <w:pStyle w:val="Compact"/>
            </w:pPr>
            <w:r>
              <w:t xml:space="preserve">Point-in-time assessments; no per-session posture verification</w:t>
            </w:r>
          </w:p>
        </w:tc>
        <w:tc>
          <w:tcPr/>
          <w:p>
            <w:pPr>
              <w:pStyle w:val="Compact"/>
            </w:pPr>
            <w:r>
              <w:t xml:space="preserve">Per-session: identity verified against IdP, device posture checked against MDM, access consistent with policy, session outcome recorded — machine-readable</w:t>
            </w:r>
          </w:p>
        </w:tc>
        <w:tc>
          <w:tcPr/>
          <w:p>
            <w:pPr>
              <w:pStyle w:val="Compact"/>
            </w:pPr>
            <w:r>
              <w:t xml:space="preserve">SASE stack per-session records</w:t>
            </w:r>
          </w:p>
        </w:tc>
      </w:tr>
    </w:tbl>
    <w:p>
      <w:pPr>
        <w:pStyle w:val="BodyText"/>
      </w:pPr>
      <w:r>
        <w:rPr>
          <w:b/>
          <w:bCs/>
        </w:rPr>
        <w:t xml:space="preserve">Controls closed: 7</w:t>
      </w:r>
      <w:r>
        <w:t xml:space="preserve"> </w:t>
      </w:r>
      <w:r>
        <w:t xml:space="preserve">(AC-4, SC-7, SC-8, SI-3, SI-4, AU-2/AU-12, CA-7)</w:t>
      </w:r>
    </w:p>
    <w:p>
      <w:pPr>
        <w:pStyle w:val="BodyText"/>
      </w:pPr>
      <w:r>
        <w:rPr>
          <w:b/>
          <w:bCs/>
        </w:rPr>
        <w:t xml:space="preserve">Additionally required for Amazon Connect .com boundary compliance:</w:t>
      </w:r>
    </w:p>
    <w:p>
      <w:pPr>
        <w:pStyle w:val="TableCaption"/>
      </w:pPr>
      <w:r>
        <w:t xml:space="preserve">Vol I Book 06 — Additional Controls for Amazon Connect Boundary Compliance</w:t>
      </w:r>
    </w:p>
    <w:tbl>
      <w:tblPr>
        <w:tblStyle w:val="Table"/>
        <w:tblW w:type="pct" w:w="5000"/>
        <w:tblLayout w:type="fixed"/>
        <w:tblLook w:firstRow="1" w:lastRow="0" w:firstColumn="0" w:lastColumn="0" w:noHBand="0" w:noVBand="0" w:val="0020"/>
        <w:tblCaption w:val="Vol I Book 06 — Additional Controls for Amazon Connect Boundary Compliance"/>
      </w:tblPr>
      <w:tblGrid>
        <w:gridCol w:w="1980"/>
        <w:gridCol w:w="1980"/>
        <w:gridCol w:w="1980"/>
        <w:gridCol w:w="1980"/>
      </w:tblGrid>
      <w:tr>
        <w:trPr>
          <w:tblHeader w:val="on"/>
        </w:trPr>
        <w:tc>
          <w:tcPr/>
          <w:p>
            <w:pPr>
              <w:pStyle w:val="Compact"/>
            </w:pPr>
            <w:r>
              <w:t xml:space="preserve">NIST Control</w:t>
            </w:r>
          </w:p>
        </w:tc>
        <w:tc>
          <w:tcPr/>
          <w:p>
            <w:pPr>
              <w:pStyle w:val="Compact"/>
            </w:pPr>
            <w:r>
              <w:t xml:space="preserve">Technology</w:t>
            </w:r>
          </w:p>
        </w:tc>
        <w:tc>
          <w:tcPr/>
          <w:p>
            <w:pPr>
              <w:pStyle w:val="Compact"/>
            </w:pPr>
            <w:r>
              <w:t xml:space="preserve">Requirement</w:t>
            </w:r>
          </w:p>
        </w:tc>
        <w:tc>
          <w:tcPr/>
          <w:p>
            <w:pPr>
              <w:pStyle w:val="Compact"/>
            </w:pPr>
            <w:r>
              <w:t xml:space="preserve">What Satisfies It</w:t>
            </w:r>
          </w:p>
        </w:tc>
      </w:tr>
      <w:tr>
        <w:tc>
          <w:tcPr/>
          <w:p>
            <w:pPr>
              <w:pStyle w:val="Compact"/>
            </w:pPr>
            <w:r>
              <w:rPr>
                <w:b/>
                <w:bCs/>
              </w:rPr>
              <w:t xml:space="preserve">SA-9</w:t>
            </w:r>
          </w:p>
        </w:tc>
        <w:tc>
          <w:tcPr/>
          <w:p>
            <w:pPr>
              <w:pStyle w:val="Compact"/>
            </w:pPr>
            <w:r>
              <w:t xml:space="preserve">SSP Documentation + InfoBlox DNS</w:t>
            </w:r>
          </w:p>
        </w:tc>
        <w:tc>
          <w:tcPr/>
          <w:p>
            <w:pPr>
              <w:pStyle w:val="Compact"/>
            </w:pPr>
            <w:r>
              <w:t xml:space="preserve">Amazon Connect is an external system service; .com exception must be documented in SSP SA-9 with authorization basis, data types, and boundary obligations</w:t>
            </w:r>
          </w:p>
        </w:tc>
        <w:tc>
          <w:tcPr/>
          <w:p>
            <w:pPr>
              <w:pStyle w:val="Compact"/>
            </w:pPr>
            <w:r>
              <w:t xml:space="preserve">SSP SA-9 entry with ATO exception narrative, call recording S3 location, and API call logging</w:t>
            </w:r>
          </w:p>
        </w:tc>
      </w:tr>
      <w:tr>
        <w:tc>
          <w:tcPr/>
          <w:p>
            <w:pPr>
              <w:pStyle w:val="Compact"/>
            </w:pPr>
            <w:r>
              <w:rPr>
                <w:b/>
                <w:bCs/>
              </w:rPr>
              <w:t xml:space="preserve">AU-9</w:t>
            </w:r>
          </w:p>
        </w:tc>
        <w:tc>
          <w:tcPr/>
          <w:p>
            <w:pPr>
              <w:pStyle w:val="Compact"/>
            </w:pPr>
            <w:r>
              <w:t xml:space="preserve">AWS KMS + S3 Access Logging</w:t>
            </w:r>
          </w:p>
        </w:tc>
        <w:tc>
          <w:tcPr/>
          <w:p>
            <w:pPr>
              <w:pStyle w:val="Compact"/>
            </w:pPr>
            <w:r>
              <w:t xml:space="preserve">Call recording access controls and audit logging for recordings containing PII</w:t>
            </w:r>
          </w:p>
        </w:tc>
        <w:tc>
          <w:tcPr/>
          <w:p>
            <w:pPr>
              <w:pStyle w:val="Compact"/>
            </w:pPr>
            <w:r>
              <w:t xml:space="preserve">S3 bucket access logging + KMS key management documentation</w:t>
            </w:r>
          </w:p>
        </w:tc>
      </w:tr>
      <w:tr>
        <w:tc>
          <w:tcPr/>
          <w:p>
            <w:pPr>
              <w:pStyle w:val="Compact"/>
            </w:pPr>
            <w:r>
              <w:rPr>
                <w:b/>
                <w:bCs/>
              </w:rPr>
              <w:t xml:space="preserve">IA-8</w:t>
            </w:r>
          </w:p>
        </w:tc>
        <w:tc>
          <w:tcPr/>
          <w:p>
            <w:pPr>
              <w:pStyle w:val="Compact"/>
            </w:pPr>
            <w:r>
              <w:t xml:space="preserve">Identification and Authentication (Non-organizational Users)</w:t>
            </w:r>
          </w:p>
        </w:tc>
        <w:tc>
          <w:tcPr/>
          <w:p>
            <w:pPr>
              <w:pStyle w:val="Compact"/>
            </w:pPr>
            <w:r>
              <w:t xml:space="preserve">Federated authentication events (Entra ID to Amazon Connect SAML assertions) must be logged and KSI-verifiable</w:t>
            </w:r>
          </w:p>
        </w:tc>
        <w:tc>
          <w:tcPr/>
          <w:p>
            <w:pPr>
              <w:pStyle w:val="Compact"/>
            </w:pPr>
            <w:r>
              <w:t xml:space="preserve">SAML assertion log from Entra ID federated to Amazon Connect</w:t>
            </w:r>
          </w:p>
        </w:tc>
      </w:tr>
    </w:tbl>
    <w:p>
      <w:pPr>
        <w:pStyle w:val="BlockText"/>
      </w:pPr>
      <w:r>
        <w:rPr>
          <w:b/>
          <w:bCs/>
        </w:rPr>
        <w:t xml:space="preserve">G.114 compliance note:</w:t>
      </w:r>
      <w:r>
        <w:t xml:space="preserve"> </w:t>
      </w:r>
      <w:r>
        <w:t xml:space="preserve">ITU-T G.114 one-way voice delay must not exceed 150ms. The SD-WAN local breakout investment that satisfies SC-7, SC-8, and CA-7 simultaneously eliminates the MPLS hairpin and brings Portland-to-AWS-us-west-2 latency from 100–130ms (over MPLS) to 5–15ms (DIA). The same investment fixes Amazon Connect and Teams Phone without modification. It does not need to be purchased twice.</w:t>
      </w:r>
    </w:p>
    <w:p>
      <w:r>
        <w:pict>
          <v:rect style="width:0;height:1.5pt" o:hralign="center" o:hrstd="t" o:hr="t"/>
        </w:pict>
      </w:r>
    </w:p>
    <w:bookmarkEnd w:id="54"/>
    <w:bookmarkEnd w:id="55"/>
    <w:bookmarkStart w:id="59" w:name="Xa74c2bf8f6a12390ebcad50fb5110dd54ea598a"/>
    <w:p>
      <w:pPr>
        <w:pStyle w:val="Heading1"/>
      </w:pPr>
      <w:r>
        <w:t xml:space="preserve">Vol II — SQL Server and Database Architecture</w:t>
      </w:r>
    </w:p>
    <w:bookmarkStart w:id="56" w:name="what-these-documents-address"/>
    <w:p>
      <w:pPr>
        <w:pStyle w:val="Heading2"/>
      </w:pPr>
      <w:r>
        <w:t xml:space="preserve">What These Documents Address</w:t>
      </w:r>
    </w:p>
    <w:p>
      <w:pPr>
        <w:pStyle w:val="FirstParagraph"/>
      </w:pPr>
      <w:r>
        <w:t xml:space="preserve">Vol II Books 01–03 address the authentication surface, implementation runbooks, and infrastructure architecture for SQL Server — the database tier that underlies most Agency business systems. The database layer carries the same credential vulnerabilities as the identity and network layers addressed in Vol I: stored passwords in SQL logins, NTLM fallback in database authentication, manual credential rotation, and no continuous compliance evidence.</w:t>
      </w:r>
    </w:p>
    <w:p>
      <w:pPr>
        <w:pStyle w:val="BodyText"/>
      </w:pPr>
      <w:r>
        <w:rPr>
          <w:b/>
          <w:bCs/>
        </w:rPr>
        <w:t xml:space="preserve">Vol II Book 01 (SQL Server Authentication Modernization)</w:t>
      </w:r>
      <w:r>
        <w:t xml:space="preserve"> </w:t>
      </w:r>
      <w:r>
        <w:t xml:space="preserve">is the conceptual guide: Arc Managed Identity replaces stored credentials, NTLM is eliminated in three phases, logins are migrated using a parallel-run pattern, and Entra Conditional Access becomes the outer authentication perimeter for SQL.</w:t>
      </w:r>
    </w:p>
    <w:p>
      <w:pPr>
        <w:pStyle w:val="BodyText"/>
      </w:pPr>
      <w:r>
        <w:rPr>
          <w:b/>
          <w:bCs/>
        </w:rPr>
        <w:t xml:space="preserve">Vol II Book 02 (SQL Server Implementation Guide)</w:t>
      </w:r>
      <w:r>
        <w:t xml:space="preserve"> </w:t>
      </w:r>
      <w:r>
        <w:t xml:space="preserve">is the operational runbook: ten sequential books covering estate discovery, authentication audit, Arc deployment, login migration, NTLM detection and remediation, Entra group structure, application chain migration, continuous monitoring, and certificate lifecycle.</w:t>
      </w:r>
    </w:p>
    <w:p>
      <w:pPr>
        <w:pStyle w:val="BodyText"/>
      </w:pPr>
      <w:r>
        <w:rPr>
          <w:b/>
          <w:bCs/>
        </w:rPr>
        <w:t xml:space="preserve">Vol II Book 03 (Database Consolidation and Network Physics)</w:t>
      </w:r>
      <w:r>
        <w:t xml:space="preserve"> </w:t>
      </w:r>
      <w:r>
        <w:t xml:space="preserve">addresses the architectural substrate: logical vs. physical centralization, the speed-of-light propagation floor that constrains cross-region consistency, SD-WAN traffic class separation for database replication traffic, token-based security as a database consolidation enabler, and the consistency class to transport class alignment rule.</w:t>
      </w:r>
    </w:p>
    <w:bookmarkEnd w:id="56"/>
    <w:bookmarkStart w:id="57" w:name="Xf590506276bd82151924f415b69164ab55ac493"/>
    <w:p>
      <w:pPr>
        <w:pStyle w:val="Heading2"/>
      </w:pPr>
      <w:r>
        <w:t xml:space="preserve">NIST Control Closure — Vol II Books 01–02 (SQL Server Authentication)</w:t>
      </w:r>
    </w:p>
    <w:p>
      <w:pPr>
        <w:pStyle w:val="TableCaption"/>
      </w:pPr>
      <w:r>
        <w:t xml:space="preserve">Vol II Books 01–02 — NIST SP 800-53 Rev 5 Control Closure: SQL Server Authentication Modernization</w:t>
      </w:r>
    </w:p>
    <w:tbl>
      <w:tblPr>
        <w:tblStyle w:val="Table"/>
        <w:tblW w:type="pct" w:w="5000"/>
        <w:tblLayout w:type="fixed"/>
        <w:tblLook w:firstRow="1" w:lastRow="0" w:firstColumn="0" w:lastColumn="0" w:noHBand="0" w:noVBand="0" w:val="0020"/>
        <w:tblCaption w:val="Vol II Books 01–02 — NIST SP 800-53 Rev 5 Control Closure: SQL Server Authentication Moderniz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SQL Modernization</w:t>
            </w:r>
          </w:p>
        </w:tc>
        <w:tc>
          <w:tcPr/>
          <w:p>
            <w:pPr>
              <w:pStyle w:val="Compact"/>
            </w:pPr>
            <w:r>
              <w:t xml:space="preserve">With Arc + Entra for SQL</w:t>
            </w:r>
          </w:p>
        </w:tc>
        <w:tc>
          <w:tcPr/>
          <w:p>
            <w:pPr>
              <w:pStyle w:val="Compact"/>
            </w:pPr>
            <w:r>
              <w:t xml:space="preserve">Authority</w:t>
            </w:r>
          </w:p>
        </w:tc>
      </w:tr>
      <w:tr>
        <w:tc>
          <w:tcPr/>
          <w:p>
            <w:pPr>
              <w:pStyle w:val="Compact"/>
            </w:pPr>
            <w:r>
              <w:rPr>
                <w:b/>
                <w:bCs/>
              </w:rPr>
              <w:t xml:space="preserve">IA-2</w:t>
            </w:r>
          </w:p>
        </w:tc>
        <w:tc>
          <w:tcPr/>
          <w:p>
            <w:pPr>
              <w:pStyle w:val="Compact"/>
            </w:pPr>
            <w:r>
              <w:t xml:space="preserve">Identification and Authentication</w:t>
            </w:r>
          </w:p>
        </w:tc>
        <w:tc>
          <w:tcPr/>
          <w:p>
            <w:pPr>
              <w:pStyle w:val="Compact"/>
            </w:pPr>
            <w:r>
              <w:t xml:space="preserve">Entra ID for SQL</w:t>
            </w:r>
          </w:p>
        </w:tc>
        <w:tc>
          <w:tcPr/>
          <w:p>
            <w:pPr>
              <w:pStyle w:val="Compact"/>
            </w:pPr>
            <w:r>
              <w:t xml:space="preserve">SQL logins and Windows Integrated Auth (NTLM) in use; NTLM events audit-opaque</w:t>
            </w:r>
          </w:p>
        </w:tc>
        <w:tc>
          <w:tcPr/>
          <w:p>
            <w:pPr>
              <w:pStyle w:val="Compact"/>
            </w:pPr>
            <w:r>
              <w:t xml:space="preserve">Entra token-based auth for all connections; every authentication produces a structured, token-level event</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Azure Arc</w:t>
            </w:r>
          </w:p>
        </w:tc>
        <w:tc>
          <w:tcPr/>
          <w:p>
            <w:pPr>
              <w:pStyle w:val="Compact"/>
            </w:pPr>
            <w:r>
              <w:t xml:space="preserve">SQL Server host identity derived from AD computer object; cloud workloads have no verifiable device identity</w:t>
            </w:r>
          </w:p>
        </w:tc>
        <w:tc>
          <w:tcPr/>
          <w:p>
            <w:pPr>
              <w:pStyle w:val="Compact"/>
            </w:pPr>
            <w:r>
              <w:t xml:space="preserve">Arc Managed Identity cryptographically binds server identity to Arc enrollment; identity verifiable at any Entra endpoint</w:t>
            </w:r>
          </w:p>
        </w:tc>
        <w:tc>
          <w:tcPr/>
          <w:p>
            <w:pPr>
              <w:pStyle w:val="Compact"/>
            </w:pPr>
            <w:r>
              <w:t xml:space="preserve">EO 14028; NIST SP 800-207</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Managed Identity</w:t>
            </w:r>
          </w:p>
        </w:tc>
        <w:tc>
          <w:tcPr/>
          <w:p>
            <w:pPr>
              <w:pStyle w:val="Compact"/>
            </w:pPr>
            <w:r>
              <w:t xml:space="preserve">SQL logins store password hashes in SQL Server; no centralized rotation; orphaned credentials persist</w:t>
            </w:r>
          </w:p>
        </w:tc>
        <w:tc>
          <w:tcPr/>
          <w:p>
            <w:pPr>
              <w:pStyle w:val="Compact"/>
            </w:pPr>
            <w:r>
              <w:t xml:space="preserve">All stored SQL credentials eliminated; Managed Identity connections require no credential; Entra manages all credential lifecycle</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dynamic groups</w:t>
            </w:r>
          </w:p>
        </w:tc>
        <w:tc>
          <w:tcPr/>
          <w:p>
            <w:pPr>
              <w:pStyle w:val="Compact"/>
            </w:pPr>
            <w:r>
              <w:t xml:space="preserve">SQL access provisioned manually by DBA on ticket; no HR-derived lifecycle; orphaned access not detected at offboarding</w:t>
            </w:r>
          </w:p>
        </w:tc>
        <w:tc>
          <w:tcPr/>
          <w:p>
            <w:pPr>
              <w:pStyle w:val="Compact"/>
            </w:pPr>
            <w:r>
              <w:t xml:space="preserve">SQL access derived from Entra dynamic group membership driven by HR attributes; access lifecycle tracks employment status automatically</w:t>
            </w:r>
          </w:p>
        </w:tc>
        <w:tc>
          <w:tcPr/>
          <w:p>
            <w:pPr>
              <w:pStyle w:val="Compact"/>
            </w:pPr>
            <w:r>
              <w:t xml:space="preserve">FICAM Architecture</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Database roles + Entra groups</w:t>
            </w:r>
          </w:p>
        </w:tc>
        <w:tc>
          <w:tcPr/>
          <w:p>
            <w:pPr>
              <w:pStyle w:val="Compact"/>
            </w:pPr>
            <w:r>
              <w:t xml:space="preserve">Static database role grants; no real-time lifecycle; access persists after role change</w:t>
            </w:r>
          </w:p>
        </w:tc>
        <w:tc>
          <w:tcPr/>
          <w:p>
            <w:pPr>
              <w:pStyle w:val="Compact"/>
            </w:pPr>
            <w:r>
              <w:t xml:space="preserve">Database roles mapped to Entra groups; group membership continuously reconciled with HR system; access current with actual role</w:t>
            </w:r>
          </w:p>
        </w:tc>
        <w:tc>
          <w:tcPr/>
          <w:p>
            <w:pPr>
              <w:pStyle w:val="Compact"/>
            </w:pPr>
            <w:r>
              <w:t xml:space="preserve">NIST SP 800-207</w:t>
            </w:r>
          </w:p>
        </w:tc>
      </w:tr>
      <w:tr>
        <w:tc>
          <w:tcPr/>
          <w:p>
            <w:pPr>
              <w:pStyle w:val="Compact"/>
            </w:pPr>
            <w:r>
              <w:rPr>
                <w:b/>
                <w:bCs/>
              </w:rPr>
              <w:t xml:space="preserve">AC-17</w:t>
            </w:r>
          </w:p>
        </w:tc>
        <w:tc>
          <w:tcPr/>
          <w:p>
            <w:pPr>
              <w:pStyle w:val="Compact"/>
            </w:pPr>
            <w:r>
              <w:t xml:space="preserve">Remote Access</w:t>
            </w:r>
          </w:p>
        </w:tc>
        <w:tc>
          <w:tcPr/>
          <w:p>
            <w:pPr>
              <w:pStyle w:val="Compact"/>
            </w:pPr>
            <w:r>
              <w:t xml:space="preserve">Entra Conditional Access</w:t>
            </w:r>
          </w:p>
        </w:tc>
        <w:tc>
          <w:tcPr/>
          <w:p>
            <w:pPr>
              <w:pStyle w:val="Compact"/>
            </w:pPr>
            <w:r>
              <w:t xml:space="preserve">SQL connections from remote/contractor systems use same auth as on-site; no device compliance check</w:t>
            </w:r>
          </w:p>
        </w:tc>
        <w:tc>
          <w:tcPr/>
          <w:p>
            <w:pPr>
              <w:pStyle w:val="Compact"/>
            </w:pPr>
            <w:r>
              <w:t xml:space="preserve">Conditional Access enforces device compliance and MFA for all Entra-authenticated SQL connections from any location</w:t>
            </w:r>
          </w:p>
        </w:tc>
        <w:tc>
          <w:tcPr/>
          <w:p>
            <w:pPr>
              <w:pStyle w:val="Compact"/>
            </w:pPr>
            <w:r>
              <w:t xml:space="preserve">OMB M-22-09 §4</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sign-in logs</w:t>
            </w:r>
          </w:p>
        </w:tc>
        <w:tc>
          <w:tcPr/>
          <w:p>
            <w:pPr>
              <w:pStyle w:val="Compact"/>
            </w:pPr>
            <w:r>
              <w:t xml:space="preserve">NTLM auth events not token-level; no user-to-action-to-data correlation; pass-the-hash invisible to SIEM</w:t>
            </w:r>
          </w:p>
        </w:tc>
        <w:tc>
          <w:tcPr/>
          <w:p>
            <w:pPr>
              <w:pStyle w:val="Compact"/>
            </w:pPr>
            <w:r>
              <w:t xml:space="preserve">Token-level audit event for every Entra-authenticated connection; structured, queryable, correlated to user, device, application</w:t>
            </w:r>
          </w:p>
        </w:tc>
        <w:tc>
          <w:tcPr/>
          <w:p>
            <w:pPr>
              <w:pStyle w:val="Compact"/>
            </w:pPr>
            <w:r>
              <w:t xml:space="preserve">FedRAMP 20x KSIs; NIST SP 800-53</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Continuous compliance record</w:t>
            </w:r>
          </w:p>
        </w:tc>
        <w:tc>
          <w:tcPr/>
          <w:p>
            <w:pPr>
              <w:pStyle w:val="Compact"/>
            </w:pPr>
            <w:r>
              <w:t xml:space="preserve">No continuous monitoring of SQL auth posture; point-in-time audit only</w:t>
            </w:r>
          </w:p>
        </w:tc>
        <w:tc>
          <w:tcPr/>
          <w:p>
            <w:pPr>
              <w:pStyle w:val="Compact"/>
            </w:pPr>
            <w:r>
              <w:t xml:space="preserve">Daily machine-readable compliance export: login type inventory, NTLM event count, Managed Identity coverage, sa status</w:t>
            </w:r>
          </w:p>
        </w:tc>
        <w:tc>
          <w:tcPr/>
          <w:p>
            <w:pPr>
              <w:pStyle w:val="Compact"/>
            </w:pPr>
            <w:r>
              <w:t xml:space="preserve">FedRAMP 20x Consolidated Rules</w:t>
            </w:r>
          </w:p>
        </w:tc>
      </w:tr>
      <w:tr>
        <w:tc>
          <w:tcPr/>
          <w:p>
            <w:pPr>
              <w:pStyle w:val="Compact"/>
            </w:pPr>
            <w:r>
              <w:rPr>
                <w:b/>
                <w:bCs/>
              </w:rPr>
              <w:t xml:space="preserve">CM-2 / CM-8</w:t>
            </w:r>
          </w:p>
        </w:tc>
        <w:tc>
          <w:tcPr/>
          <w:p>
            <w:pPr>
              <w:pStyle w:val="Compact"/>
            </w:pPr>
            <w:r>
              <w:t xml:space="preserve">Baseline Configuration / Component Inventory</w:t>
            </w:r>
          </w:p>
        </w:tc>
        <w:tc>
          <w:tcPr/>
          <w:p>
            <w:pPr>
              <w:pStyle w:val="Compact"/>
            </w:pPr>
            <w:r>
              <w:t xml:space="preserve">SQL estate inventory</w:t>
            </w:r>
          </w:p>
        </w:tc>
        <w:tc>
          <w:tcPr/>
          <w:p>
            <w:pPr>
              <w:pStyle w:val="Compact"/>
            </w:pPr>
            <w:r>
              <w:t xml:space="preserve">SQL Server instances not fully enumerated; login inventory stale; version and EoL posture undocumented</w:t>
            </w:r>
          </w:p>
        </w:tc>
        <w:tc>
          <w:tcPr/>
          <w:p>
            <w:pPr>
              <w:pStyle w:val="Compact"/>
            </w:pPr>
            <w:r>
              <w:t xml:space="preserve">Complete instance inventory with version, auth type, login count, and dependency map; updated continuously</w:t>
            </w:r>
          </w:p>
        </w:tc>
        <w:tc>
          <w:tcPr/>
          <w:p>
            <w:pPr>
              <w:pStyle w:val="Compact"/>
            </w:pPr>
            <w:r>
              <w:t xml:space="preserve">NIST SP 800-53 Rev 5 CM-8</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TLS + Arc certificate</w:t>
            </w:r>
          </w:p>
        </w:tc>
        <w:tc>
          <w:tcPr/>
          <w:p>
            <w:pPr>
              <w:pStyle w:val="Compact"/>
            </w:pPr>
            <w:r>
              <w:t xml:space="preserve">SQL TLS certificate inventory undocumented; renewal not tracked; ADCS dependency unknown</w:t>
            </w:r>
          </w:p>
        </w:tc>
        <w:tc>
          <w:tcPr/>
          <w:p>
            <w:pPr>
              <w:pStyle w:val="Compact"/>
            </w:pPr>
            <w:r>
              <w:t xml:space="preserve">TLS certificate inventory linked to IP host record; Arc manages server certificate; renewal tracked against CA</w:t>
            </w:r>
          </w:p>
        </w:tc>
        <w:tc>
          <w:tcPr/>
          <w:p>
            <w:pPr>
              <w:pStyle w:val="Compact"/>
            </w:pPr>
            <w:r>
              <w:t xml:space="preserve">NIST SP 800-53 Rev 5 SC-8</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Zero-NTLM monitoring</w:t>
            </w:r>
          </w:p>
        </w:tc>
        <w:tc>
          <w:tcPr/>
          <w:p>
            <w:pPr>
              <w:pStyle w:val="Compact"/>
            </w:pPr>
            <w:r>
              <w:t xml:space="preserve">NTLM authentication invisible to monitoring; pass-the-hash not detectable</w:t>
            </w:r>
          </w:p>
        </w:tc>
        <w:tc>
          <w:tcPr/>
          <w:p>
            <w:pPr>
              <w:pStyle w:val="Compact"/>
            </w:pPr>
            <w:r>
              <w:t xml:space="preserve">Post-Phase C monitoring for NTLM recurrence; any NTLM event generates SIEM alert; zero-count assertion in compliance record</w:t>
            </w:r>
          </w:p>
        </w:tc>
        <w:tc>
          <w:tcPr/>
          <w:p>
            <w:pPr>
              <w:pStyle w:val="Compact"/>
            </w:pPr>
            <w:r>
              <w:t xml:space="preserve">NIST SP 800-53 Rev 5 SI-4</w:t>
            </w:r>
          </w:p>
        </w:tc>
      </w:tr>
    </w:tbl>
    <w:p>
      <w:pPr>
        <w:pStyle w:val="BodyText"/>
      </w:pPr>
      <w:r>
        <w:rPr>
          <w:b/>
          <w:bCs/>
        </w:rPr>
        <w:t xml:space="preserve">Controls closed (Vol II Books 01–02):</w:t>
      </w:r>
      <w:r>
        <w:t xml:space="preserve"> </w:t>
      </w:r>
      <w:r>
        <w:t xml:space="preserve">IA-2, IA-3, IA-5, AC-2, AC-3, AC-17, AU-2/AU-12, CA-7, CM-2/CM-8, SC-8, SI-4 — all are deepened closures of controls addressed in Vol I at the identity and network layers, now extended to the database authentication layer.</w:t>
      </w:r>
    </w:p>
    <w:bookmarkEnd w:id="57"/>
    <w:bookmarkStart w:id="58" w:name="Xc51314e8ab3f188d42321ae46ce5e2aa80811e4"/>
    <w:p>
      <w:pPr>
        <w:pStyle w:val="Heading2"/>
      </w:pPr>
      <w:r>
        <w:t xml:space="preserve">NIST Control Closure — Vol II Book 03 (Database Architecture and Network Physics)</w:t>
      </w:r>
    </w:p>
    <w:p>
      <w:pPr>
        <w:pStyle w:val="TableCaption"/>
      </w:pPr>
      <w:r>
        <w:t xml:space="preserve">Vol II Book 03 — NIST SP 800-53 Rev 5 Control Closure: Database Consolidation and Network Physics</w:t>
      </w:r>
    </w:p>
    <w:tbl>
      <w:tblPr>
        <w:tblStyle w:val="Table"/>
        <w:tblW w:type="pct" w:w="5000"/>
        <w:tblLayout w:type="fixed"/>
        <w:tblLook w:firstRow="1" w:lastRow="0" w:firstColumn="0" w:lastColumn="0" w:noHBand="0" w:noVBand="0" w:val="0020"/>
        <w:tblCaption w:val="Vol II Book 03 — NIST SP 800-53 Rev 5 Control Closure: Database Consolidation and Network Physic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Architectural Gap</w:t>
            </w:r>
          </w:p>
        </w:tc>
        <w:tc>
          <w:tcPr/>
          <w:p>
            <w:pPr>
              <w:pStyle w:val="Compact"/>
            </w:pPr>
            <w:r>
              <w:t xml:space="preserve">With Correct Architecture</w:t>
            </w:r>
          </w:p>
        </w:tc>
        <w:tc>
          <w:tcPr/>
          <w:p>
            <w:pPr>
              <w:pStyle w:val="Compact"/>
            </w:pPr>
            <w:r>
              <w:t xml:space="preserve">How Closed</w:t>
            </w:r>
          </w:p>
        </w:tc>
      </w:tr>
      <w:tr>
        <w:tc>
          <w:tcPr/>
          <w:p>
            <w:pPr>
              <w:pStyle w:val="Compact"/>
            </w:pPr>
            <w:r>
              <w:rPr>
                <w:b/>
                <w:bCs/>
              </w:rPr>
              <w:t xml:space="preserve">SC-28</w:t>
            </w:r>
          </w:p>
        </w:tc>
        <w:tc>
          <w:tcPr/>
          <w:p>
            <w:pPr>
              <w:pStyle w:val="Compact"/>
            </w:pPr>
            <w:r>
              <w:t xml:space="preserve">Protection of Information at Rest</w:t>
            </w:r>
          </w:p>
        </w:tc>
        <w:tc>
          <w:tcPr/>
          <w:p>
            <w:pPr>
              <w:pStyle w:val="Compact"/>
            </w:pPr>
            <w:r>
              <w:t xml:space="preserve">SQL Server TDE</w:t>
            </w:r>
          </w:p>
        </w:tc>
        <w:tc>
          <w:tcPr/>
          <w:p>
            <w:pPr>
              <w:pStyle w:val="Compact"/>
            </w:pPr>
            <w:r>
              <w:t xml:space="preserve">Data files on disk unencrypted unless separately configured; TDE not consistently applied</w:t>
            </w:r>
          </w:p>
        </w:tc>
        <w:tc>
          <w:tcPr/>
          <w:p>
            <w:pPr>
              <w:pStyle w:val="Compact"/>
            </w:pPr>
            <w:r>
              <w:t xml:space="preserve">TDE with AES-256 enforced on all retained databases; key stored in Arc-managed certificate store</w:t>
            </w:r>
          </w:p>
        </w:tc>
        <w:tc>
          <w:tcPr/>
          <w:p>
            <w:pPr>
              <w:pStyle w:val="Compact"/>
            </w:pPr>
            <w:r>
              <w:t xml:space="preserve">Database-level TDE configuration in deployment baseline</w:t>
            </w:r>
          </w:p>
        </w:tc>
      </w:tr>
      <w:tr>
        <w:tc>
          <w:tcPr/>
          <w:p>
            <w:pPr>
              <w:pStyle w:val="Compact"/>
            </w:pPr>
            <w:r>
              <w:rPr>
                <w:b/>
                <w:bCs/>
              </w:rP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Backup and replication traffic competes with consensus quorum ACKs on the same network path; bulk transfer can delay leader election</w:t>
            </w:r>
          </w:p>
        </w:tc>
        <w:tc>
          <w:tcPr/>
          <w:p>
            <w:pPr>
              <w:pStyle w:val="Compact"/>
            </w:pPr>
            <w:r>
              <w:t xml:space="preserve">Lean lane carries heartbeats and quorum ACKs; fat lane carries backups and async replication; class separation enforced by SD-WAN QoS marking</w:t>
            </w:r>
          </w:p>
        </w:tc>
        <w:tc>
          <w:tcPr/>
          <w:p>
            <w:pPr>
              <w:pStyle w:val="Compact"/>
            </w:pPr>
            <w:r>
              <w:t xml:space="preserve">SD-WAN traffic classification and per-class path policy</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SD-WAN IPsec on replication paths</w:t>
            </w:r>
          </w:p>
        </w:tc>
        <w:tc>
          <w:tcPr/>
          <w:p>
            <w:pPr>
              <w:pStyle w:val="Compact"/>
            </w:pPr>
            <w:r>
              <w:t xml:space="preserve">Async replication streams may traverse unencrypted segments; no network-layer guarantee on replication traffic</w:t>
            </w:r>
          </w:p>
        </w:tc>
        <w:tc>
          <w:tcPr/>
          <w:p>
            <w:pPr>
              <w:pStyle w:val="Compact"/>
            </w:pPr>
            <w:r>
              <w:t xml:space="preserve">SD-WAN IPsec overlay encrypts all inter-site database replication traffic at the network layer</w:t>
            </w:r>
          </w:p>
        </w:tc>
        <w:tc>
          <w:tcPr/>
          <w:p>
            <w:pPr>
              <w:pStyle w:val="Compact"/>
            </w:pPr>
            <w:r>
              <w:t xml:space="preserve">SD-WAN IPsec on all database replication traffic paths</w:t>
            </w:r>
          </w:p>
        </w:tc>
      </w:tr>
      <w:tr>
        <w:tc>
          <w:tcPr/>
          <w:p>
            <w:pPr>
              <w:pStyle w:val="Compact"/>
            </w:pPr>
            <w:r>
              <w:rPr>
                <w:b/>
                <w:bCs/>
              </w:rP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Cross-database access (linked servers, federated queries) authenticated via passthrough or stored credential</w:t>
            </w:r>
          </w:p>
        </w:tc>
        <w:tc>
          <w:tcPr/>
          <w:p>
            <w:pPr>
              <w:pStyle w:val="Compact"/>
            </w:pPr>
            <w:r>
              <w:t xml:space="preserve">Entra tokens scope every cross-system database access to the specific resource and consumer; passthrough credentials eliminated</w:t>
            </w:r>
          </w:p>
        </w:tc>
        <w:tc>
          <w:tcPr/>
          <w:p>
            <w:pPr>
              <w:pStyle w:val="Compact"/>
            </w:pPr>
            <w:r>
              <w:t xml:space="preserve">Linked server migration to service principal; Entra-scoped federated access</w:t>
            </w:r>
          </w:p>
        </w:tc>
      </w:tr>
      <w:tr>
        <w:tc>
          <w:tcPr/>
          <w:p>
            <w:pPr>
              <w:pStyle w:val="Compact"/>
            </w:pPr>
            <w:r>
              <w:rPr>
                <w:b/>
                <w:bCs/>
              </w:rPr>
              <w:t xml:space="preserve">SA-8</w:t>
            </w:r>
          </w:p>
        </w:tc>
        <w:tc>
          <w:tcPr/>
          <w:p>
            <w:pPr>
              <w:pStyle w:val="Compact"/>
            </w:pPr>
            <w:r>
              <w:t xml:space="preserve">Security and Privacy Engineering</w:t>
            </w:r>
          </w:p>
        </w:tc>
        <w:tc>
          <w:tcPr/>
          <w:p>
            <w:pPr>
              <w:pStyle w:val="Compact"/>
            </w:pPr>
            <w:r>
              <w:t xml:space="preserve">Consistency class alignment</w:t>
            </w:r>
          </w:p>
        </w:tc>
        <w:tc>
          <w:tcPr/>
          <w:p>
            <w:pPr>
              <w:pStyle w:val="Compact"/>
            </w:pPr>
            <w:r>
              <w:t xml:space="preserve">Strong consistency requirements applied implicitly to all reads regardless of geographic position; cross-region strong consistency imposes round-trip latency on every read with no explicit design decision</w:t>
            </w:r>
          </w:p>
        </w:tc>
        <w:tc>
          <w:tcPr/>
          <w:p>
            <w:pPr>
              <w:pStyle w:val="Compact"/>
            </w:pPr>
            <w:r>
              <w:t xml:space="preserve">Workloads explicitly classified by consistency requirement; strong consistency routed intra-region; cross-region reads use async replica with documented staleness bound</w:t>
            </w:r>
          </w:p>
        </w:tc>
        <w:tc>
          <w:tcPr/>
          <w:p>
            <w:pPr>
              <w:pStyle w:val="Compact"/>
            </w:pPr>
            <w:r>
              <w:t xml:space="preserve">Consistency class to transport class design rule applied at architecture review</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Geo-replicated immutable audit log</w:t>
            </w:r>
          </w:p>
        </w:tc>
        <w:tc>
          <w:tcPr/>
          <w:p>
            <w:pPr>
              <w:pStyle w:val="Compact"/>
            </w:pPr>
            <w:r>
              <w:t xml:space="preserve">Audit logs may reside only in the region where the database is hosted; single-region loss event could destroy audit trail</w:t>
            </w:r>
          </w:p>
        </w:tc>
        <w:tc>
          <w:tcPr/>
          <w:p>
            <w:pPr>
              <w:pStyle w:val="Compact"/>
            </w:pPr>
            <w:r>
              <w:t xml:space="preserve">Audit logs replicated asynchronously to write-once storage in a second region; loss of primary region does not destroy audit record</w:t>
            </w:r>
          </w:p>
        </w:tc>
        <w:tc>
          <w:tcPr/>
          <w:p>
            <w:pPr>
              <w:pStyle w:val="Compact"/>
            </w:pPr>
            <w:r>
              <w:t xml:space="preserve">Async replication of audit logs to immutable secondary-region store</w:t>
            </w:r>
          </w:p>
        </w:tc>
      </w:tr>
      <w:tr>
        <w:tc>
          <w:tcPr/>
          <w:p>
            <w:pPr>
              <w:pStyle w:val="Compact"/>
            </w:pPr>
            <w:r>
              <w:rPr>
                <w:b/>
                <w:bCs/>
              </w:rPr>
              <w:t xml:space="preserve">CP-9</w:t>
            </w:r>
          </w:p>
        </w:tc>
        <w:tc>
          <w:tcPr/>
          <w:p>
            <w:pPr>
              <w:pStyle w:val="Compact"/>
            </w:pPr>
            <w:r>
              <w:t xml:space="preserve">System Backup</w:t>
            </w:r>
          </w:p>
        </w:tc>
        <w:tc>
          <w:tcPr/>
          <w:p>
            <w:pPr>
              <w:pStyle w:val="Compact"/>
            </w:pPr>
            <w:r>
              <w:t xml:space="preserve">Async DR replica + backup</w:t>
            </w:r>
          </w:p>
        </w:tc>
        <w:tc>
          <w:tcPr/>
          <w:p>
            <w:pPr>
              <w:pStyle w:val="Compact"/>
            </w:pPr>
            <w:r>
              <w:t xml:space="preserve">Backup policy exists but DR replica synchronization not monitored; backup-to-restore time not measured against RTO</w:t>
            </w:r>
          </w:p>
        </w:tc>
        <w:tc>
          <w:tcPr/>
          <w:p>
            <w:pPr>
              <w:pStyle w:val="Compact"/>
            </w:pPr>
            <w:r>
              <w:t xml:space="preserve">Async replication to DR replica with continuous lag monitoring; periodic backup to immutable store; RTO and RPO validated by documented test</w:t>
            </w:r>
          </w:p>
        </w:tc>
        <w:tc>
          <w:tcPr/>
          <w:p>
            <w:pPr>
              <w:pStyle w:val="Compact"/>
            </w:pPr>
            <w:r>
              <w:t xml:space="preserve">DR replica lag monitoring; backup-to-restore time test record</w:t>
            </w:r>
          </w:p>
        </w:tc>
      </w:tr>
      <w:tr>
        <w:tc>
          <w:tcPr/>
          <w:p>
            <w:pPr>
              <w:pStyle w:val="Compact"/>
            </w:pPr>
            <w:r>
              <w:rPr>
                <w:b/>
                <w:bCs/>
              </w:rPr>
              <w:t xml:space="preserve">CP-10</w:t>
            </w:r>
          </w:p>
        </w:tc>
        <w:tc>
          <w:tcPr/>
          <w:p>
            <w:pPr>
              <w:pStyle w:val="Compact"/>
            </w:pPr>
            <w:r>
              <w:t xml:space="preserve">System Recovery and Reconstitution</w:t>
            </w:r>
          </w:p>
        </w:tc>
        <w:tc>
          <w:tcPr/>
          <w:p>
            <w:pPr>
              <w:pStyle w:val="Compact"/>
            </w:pPr>
            <w:r>
              <w:t xml:space="preserve">DR failover runbook</w:t>
            </w:r>
          </w:p>
        </w:tc>
        <w:tc>
          <w:tcPr/>
          <w:p>
            <w:pPr>
              <w:pStyle w:val="Compact"/>
            </w:pPr>
            <w:r>
              <w:t xml:space="preserve">No documented failover procedure with measured recovery time; DR readiness not continuously tested</w:t>
            </w:r>
          </w:p>
        </w:tc>
        <w:tc>
          <w:tcPr/>
          <w:p>
            <w:pPr>
              <w:pStyle w:val="Compact"/>
            </w:pPr>
            <w:r>
              <w:t xml:space="preserve">Documented DR failover runbook with measured RTO and RPO from last test; annual DR test documented and reviewed</w:t>
            </w:r>
          </w:p>
        </w:tc>
        <w:tc>
          <w:tcPr/>
          <w:p>
            <w:pPr>
              <w:pStyle w:val="Compact"/>
            </w:pPr>
            <w:r>
              <w:t xml:space="preserve">DR test record with measured recovery time; runbook maintained in configuration management</w:t>
            </w:r>
          </w:p>
        </w:tc>
      </w:tr>
    </w:tbl>
    <w:p>
      <w:pPr>
        <w:pStyle w:val="BodyText"/>
      </w:pPr>
      <w:r>
        <w:rPr>
          <w:b/>
          <w:bCs/>
        </w:rPr>
        <w:t xml:space="preserve">Net new controls from Vol II Book 03</w:t>
      </w:r>
      <w:r>
        <w:t xml:space="preserve"> </w:t>
      </w:r>
      <w:r>
        <w:t xml:space="preserve">(not addressed in Vol I or Vol II Books 01–02): SC-28, SC-5, CA-3, SA-8, AU-9, CP-9, CP-10 —</w:t>
      </w:r>
      <w:r>
        <w:t xml:space="preserve"> </w:t>
      </w:r>
      <w:r>
        <w:rPr>
          <w:b/>
          <w:bCs/>
        </w:rPr>
        <w:t xml:space="preserve">7 additional controls</w:t>
      </w:r>
      <w:r>
        <w:t xml:space="preserve">, bringing the series total to</w:t>
      </w:r>
      <w:r>
        <w:t xml:space="preserve"> </w:t>
      </w:r>
      <w:r>
        <w:rPr>
          <w:b/>
          <w:bCs/>
        </w:rPr>
        <w:t xml:space="preserve">34 distinct controls</w:t>
      </w:r>
      <w:r>
        <w:t xml:space="preserve">.</w:t>
      </w:r>
    </w:p>
    <w:p>
      <w:r>
        <w:pict>
          <v:rect style="width:0;height:1.5pt" o:hralign="center" o:hrstd="t" o:hr="t"/>
        </w:pict>
      </w:r>
    </w:p>
    <w:bookmarkEnd w:id="58"/>
    <w:bookmarkEnd w:id="59"/>
    <w:bookmarkStart w:id="61" w:name="vols-iiiiv-expanded-control-coverage"/>
    <w:p>
      <w:pPr>
        <w:pStyle w:val="Heading1"/>
      </w:pPr>
      <w:r>
        <w:t xml:space="preserve">Vols III–IV — Expanded Control Coverage</w:t>
      </w:r>
    </w:p>
    <w:p>
      <w:pPr>
        <w:pStyle w:val="FirstParagraph"/>
      </w:pPr>
      <w:r>
        <w:t xml:space="preserve">Vol III and Vol IV Book 01 extend the series from the network and identity planes into</w:t>
      </w:r>
      <w:r>
        <w:t xml:space="preserve"> </w:t>
      </w:r>
      <w:r>
        <w:t xml:space="preserve">the operational security planes: privileged access, vulnerability management,</w:t>
      </w:r>
      <w:r>
        <w:t xml:space="preserve"> </w:t>
      </w:r>
      <w:r>
        <w:t xml:space="preserve">data protection, detection engineering, and contingency planning — adding approximately</w:t>
      </w:r>
      <w:r>
        <w:t xml:space="preserve"> </w:t>
      </w:r>
      <w:r>
        <w:rPr>
          <w:b/>
          <w:bCs/>
        </w:rPr>
        <w:t xml:space="preserve">55 additional controls</w:t>
      </w:r>
      <w:r>
        <w:t xml:space="preserve">. Vol IV Books 02–04 close the three control families the network and security architecture documents cannot address on their own: supply chain risk management, program management governance, and PII processing transparency.</w:t>
      </w:r>
    </w:p>
    <w:bookmarkStart w:id="60" w:name="nist-control-closure-vols-iiiiv"/>
    <w:p>
      <w:pPr>
        <w:pStyle w:val="Heading2"/>
      </w:pPr>
      <w:r>
        <w:t xml:space="preserve">NIST Control Closure — Vols III–IV</w:t>
      </w:r>
    </w:p>
    <w:p>
      <w:pPr>
        <w:pStyle w:val="TableCaption"/>
      </w:pPr>
      <w:r>
        <w:t xml:space="preserve">Vols III–IV — NIST SP 800-53 Rev 5 Control Coverage</w:t>
      </w:r>
    </w:p>
    <w:tbl>
      <w:tblPr>
        <w:tblStyle w:val="Table"/>
        <w:tblW w:type="pct" w:w="5000"/>
        <w:tblLayout w:type="fixed"/>
        <w:tblLook w:firstRow="1" w:lastRow="0" w:firstColumn="0" w:lastColumn="0" w:noHBand="0" w:noVBand="0" w:val="0020"/>
        <w:tblCaption w:val="Vols III–IV — NIST SP 800-53 Rev 5 Control Coverage"/>
      </w:tblPr>
      <w:tblGrid>
        <w:gridCol w:w="1131"/>
        <w:gridCol w:w="1320"/>
        <w:gridCol w:w="3205"/>
        <w:gridCol w:w="2262"/>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Target Controls</w:t>
            </w:r>
          </w:p>
        </w:tc>
        <w:tc>
          <w:tcPr/>
          <w:p>
            <w:pPr>
              <w:pStyle w:val="Compact"/>
            </w:pPr>
            <w:r>
              <w:t xml:space="preserve">Technology</w:t>
            </w:r>
          </w:p>
        </w:tc>
      </w:tr>
      <w:tr>
        <w:tc>
          <w:tcPr/>
          <w:p>
            <w:pPr>
              <w:pStyle w:val="Compact"/>
            </w:pPr>
            <w:r>
              <w:rPr>
                <w:b/>
                <w:bCs/>
              </w:rPr>
              <w:t xml:space="preserve">Vol III Book 01</w:t>
            </w:r>
          </w:p>
        </w:tc>
        <w:tc>
          <w:tcPr/>
          <w:p>
            <w:pPr>
              <w:pStyle w:val="Compact"/>
            </w:pPr>
            <w:r>
              <w:t xml:space="preserve">Privileged Access Management</w:t>
            </w:r>
          </w:p>
        </w:tc>
        <w:tc>
          <w:tcPr/>
          <w:p>
            <w:pPr>
              <w:pStyle w:val="Compact"/>
            </w:pPr>
            <w:r>
              <w:t xml:space="preserve">AC-5, AC-6, AC-6(1/2/5/7/9/10), AC-11, AC-12, IA-11</w:t>
            </w:r>
          </w:p>
        </w:tc>
        <w:tc>
          <w:tcPr/>
          <w:p>
            <w:pPr>
              <w:pStyle w:val="Compact"/>
            </w:pPr>
            <w:r>
              <w:t xml:space="preserve">Entra PIM + PAW</w:t>
            </w:r>
          </w:p>
        </w:tc>
      </w:tr>
      <w:tr>
        <w:tc>
          <w:tcPr/>
          <w:p>
            <w:pPr>
              <w:pStyle w:val="Compact"/>
            </w:pPr>
            <w:r>
              <w:rPr>
                <w:b/>
                <w:bCs/>
              </w:rPr>
              <w:t xml:space="preserve">Vol III Book 02</w:t>
            </w:r>
          </w:p>
        </w:tc>
        <w:tc>
          <w:tcPr/>
          <w:p>
            <w:pPr>
              <w:pStyle w:val="Compact"/>
            </w:pPr>
            <w:r>
              <w:t xml:space="preserve">Vulnerability Management</w:t>
            </w:r>
          </w:p>
        </w:tc>
        <w:tc>
          <w:tcPr/>
          <w:p>
            <w:pPr>
              <w:pStyle w:val="Compact"/>
            </w:pPr>
            <w:r>
              <w:t xml:space="preserve">RA-5, RA-5(2), RA-5(5), SI-2, SI-2(2), SI-5, CM-7, CM-7(1)</w:t>
            </w:r>
          </w:p>
        </w:tc>
        <w:tc>
          <w:tcPr/>
          <w:p>
            <w:pPr>
              <w:pStyle w:val="Compact"/>
            </w:pPr>
            <w:r>
              <w:t xml:space="preserve">Defender MDVM + CISA KEV</w:t>
            </w:r>
          </w:p>
        </w:tc>
      </w:tr>
      <w:tr>
        <w:tc>
          <w:tcPr/>
          <w:p>
            <w:pPr>
              <w:pStyle w:val="Compact"/>
            </w:pPr>
            <w:r>
              <w:rPr>
                <w:b/>
                <w:bCs/>
              </w:rPr>
              <w:t xml:space="preserve">Vol III Book 05</w:t>
            </w:r>
          </w:p>
        </w:tc>
        <w:tc>
          <w:tcPr/>
          <w:p>
            <w:pPr>
              <w:pStyle w:val="Compact"/>
            </w:pPr>
            <w:r>
              <w:t xml:space="preserve">Data Protection</w:t>
            </w:r>
          </w:p>
        </w:tc>
        <w:tc>
          <w:tcPr/>
          <w:p>
            <w:pPr>
              <w:pStyle w:val="Compact"/>
            </w:pPr>
            <w:r>
              <w:t xml:space="preserve">MP-2, MP-3, MP-4, MP-5, SC-12, SC-13, SC-17, SC-28, AU-10</w:t>
            </w:r>
          </w:p>
        </w:tc>
        <w:tc>
          <w:tcPr/>
          <w:p>
            <w:pPr>
              <w:pStyle w:val="Compact"/>
            </w:pPr>
            <w:r>
              <w:t xml:space="preserve">Purview + Key Vault CMK</w:t>
            </w:r>
          </w:p>
        </w:tc>
      </w:tr>
      <w:tr>
        <w:tc>
          <w:tcPr/>
          <w:p>
            <w:pPr>
              <w:pStyle w:val="Compact"/>
            </w:pPr>
            <w:r>
              <w:rPr>
                <w:b/>
                <w:bCs/>
              </w:rPr>
              <w:t xml:space="preserve">Vol III Book 06</w:t>
            </w:r>
          </w:p>
        </w:tc>
        <w:tc>
          <w:tcPr/>
          <w:p>
            <w:pPr>
              <w:pStyle w:val="Compact"/>
            </w:pPr>
            <w:r>
              <w:t xml:space="preserve">SIEM / XDR / Detection Engineering</w:t>
            </w:r>
          </w:p>
        </w:tc>
        <w:tc>
          <w:tcPr/>
          <w:p>
            <w:pPr>
              <w:pStyle w:val="Compact"/>
            </w:pPr>
            <w:r>
              <w:t xml:space="preserve">AU-6, AU-6(1/3), AU-7, AU-8, AU-11, SI-4, SI-4(2/4/5), IR-4, IR-6, IR-8</w:t>
            </w:r>
          </w:p>
        </w:tc>
        <w:tc>
          <w:tcPr/>
          <w:p>
            <w:pPr>
              <w:pStyle w:val="Compact"/>
            </w:pPr>
            <w:r>
              <w:t xml:space="preserve">Microsoft Sentinel + Defender XDR</w:t>
            </w:r>
          </w:p>
        </w:tc>
      </w:tr>
      <w:tr>
        <w:tc>
          <w:tcPr/>
          <w:p>
            <w:pPr>
              <w:pStyle w:val="Compact"/>
            </w:pPr>
            <w:r>
              <w:rPr>
                <w:b/>
                <w:bCs/>
              </w:rPr>
              <w:t xml:space="preserve">Vol IV Book 01</w:t>
            </w:r>
          </w:p>
        </w:tc>
        <w:tc>
          <w:tcPr/>
          <w:p>
            <w:pPr>
              <w:pStyle w:val="Compact"/>
            </w:pPr>
            <w:r>
              <w:t xml:space="preserve">Business Continuity</w:t>
            </w:r>
          </w:p>
        </w:tc>
        <w:tc>
          <w:tcPr/>
          <w:p>
            <w:pPr>
              <w:pStyle w:val="Compact"/>
            </w:pPr>
            <w:r>
              <w:t xml:space="preserve">CP-2, CP-2(1/2/3), CP-3, CP-4, CP-4(1/2), CP-6, CP-7, CP-7(1/2/3), CP-8, CP-8(1/2)</w:t>
            </w:r>
          </w:p>
        </w:tc>
        <w:tc>
          <w:tcPr/>
          <w:p>
            <w:pPr>
              <w:pStyle w:val="Compact"/>
            </w:pPr>
            <w:r>
              <w:t xml:space="preserve">Azure Site Recovery + DR runbooks</w:t>
            </w:r>
          </w:p>
        </w:tc>
      </w:tr>
      <w:tr>
        <w:tc>
          <w:tcPr/>
          <w:p>
            <w:pPr>
              <w:pStyle w:val="Compact"/>
            </w:pPr>
            <w:r>
              <w:rPr>
                <w:b/>
                <w:bCs/>
              </w:rPr>
              <w:t xml:space="preserve">Vol IV Book 02</w:t>
            </w:r>
          </w:p>
        </w:tc>
        <w:tc>
          <w:tcPr/>
          <w:p>
            <w:pPr>
              <w:pStyle w:val="Compact"/>
            </w:pPr>
            <w:r>
              <w:t xml:space="preserve">Supply Chain Risk Management</w:t>
            </w:r>
          </w:p>
        </w:tc>
        <w:tc>
          <w:tcPr/>
          <w:p>
            <w:pPr>
              <w:pStyle w:val="Compact"/>
            </w:pPr>
            <w:r>
              <w:t xml:space="preserve">SR-1, SR-2, SR-3, SR-5, SR-6, SR-8, SR-10, SR-11</w:t>
            </w:r>
          </w:p>
        </w:tc>
        <w:tc>
          <w:tcPr/>
          <w:p>
            <w:pPr>
              <w:pStyle w:val="Compact"/>
            </w:pPr>
            <w:r>
              <w:t xml:space="preserve">Syft/Grype SBOM pipeline (EO 14028 §4 / SR-family; remediation SLAs per BOD 26-04)</w:t>
            </w:r>
          </w:p>
        </w:tc>
      </w:tr>
      <w:tr>
        <w:tc>
          <w:tcPr/>
          <w:p>
            <w:pPr>
              <w:pStyle w:val="Compact"/>
            </w:pPr>
            <w:r>
              <w:rPr>
                <w:b/>
                <w:bCs/>
              </w:rPr>
              <w:t xml:space="preserve">Vol IV Book 03</w:t>
            </w:r>
          </w:p>
        </w:tc>
        <w:tc>
          <w:tcPr/>
          <w:p>
            <w:pPr>
              <w:pStyle w:val="Compact"/>
            </w:pPr>
            <w:r>
              <w:t xml:space="preserve">Program Management and Governance</w:t>
            </w:r>
          </w:p>
        </w:tc>
        <w:tc>
          <w:tcPr/>
          <w:p>
            <w:pPr>
              <w:pStyle w:val="Compact"/>
            </w:pPr>
            <w:r>
              <w:t xml:space="preserve">PM-1, PM-2, PM-5, PM-7, PM-9, PM-11, PM-14, PM-15, PM-30</w:t>
            </w:r>
          </w:p>
        </w:tc>
        <w:tc>
          <w:tcPr/>
          <w:p>
            <w:pPr>
              <w:pStyle w:val="Compact"/>
            </w:pPr>
            <w:r>
              <w:t xml:space="preserve">ISPP / POA&amp;M / SCRM Charter templates</w:t>
            </w:r>
          </w:p>
        </w:tc>
      </w:tr>
      <w:tr>
        <w:tc>
          <w:tcPr/>
          <w:p>
            <w:pPr>
              <w:pStyle w:val="Compact"/>
            </w:pPr>
            <w:r>
              <w:rPr>
                <w:b/>
                <w:bCs/>
              </w:rPr>
              <w:t xml:space="preserve">Vol IV Book 04</w:t>
            </w:r>
          </w:p>
        </w:tc>
        <w:tc>
          <w:tcPr/>
          <w:p>
            <w:pPr>
              <w:pStyle w:val="Compact"/>
            </w:pPr>
            <w:r>
              <w:t xml:space="preserve">PII Processing and Transparency</w:t>
            </w:r>
          </w:p>
        </w:tc>
        <w:tc>
          <w:tcPr/>
          <w:p>
            <w:pPr>
              <w:pStyle w:val="Compact"/>
            </w:pPr>
            <w:r>
              <w:t xml:space="preserve">PT-1, PT-2, PT-3, PT-4, PT-5, PT-7</w:t>
            </w:r>
          </w:p>
        </w:tc>
        <w:tc>
          <w:tcPr/>
          <w:p>
            <w:pPr>
              <w:pStyle w:val="Compact"/>
            </w:pPr>
            <w:r>
              <w:t xml:space="preserve">Purview Data Map + PT family templates</w:t>
            </w:r>
          </w:p>
        </w:tc>
      </w:tr>
      <w:tr>
        <w:tc>
          <w:tcPr/>
          <w:p>
            <w:pPr>
              <w:pStyle w:val="Compact"/>
            </w:pPr>
            <w:r>
              <w:rPr>
                <w:b/>
                <w:bCs/>
              </w:rPr>
              <w:t xml:space="preserve">Vol IV Book 05</w:t>
            </w:r>
          </w:p>
        </w:tc>
        <w:tc>
          <w:tcPr/>
          <w:p>
            <w:pPr>
              <w:pStyle w:val="Compact"/>
            </w:pPr>
            <w:r>
              <w:t xml:space="preserve">Cybersecurity Awareness and Training</w:t>
            </w:r>
          </w:p>
        </w:tc>
        <w:tc>
          <w:tcPr/>
          <w:p>
            <w:pPr>
              <w:pStyle w:val="Compact"/>
            </w:pPr>
            <w:r>
              <w:t xml:space="preserve">AT-2, AT-2(1), AT-2(2), AT-3, AT-3(3), AT-3(5), AT-4, CP-3, IR-2</w:t>
            </w:r>
          </w:p>
        </w:tc>
        <w:tc>
          <w:tcPr/>
          <w:p>
            <w:pPr>
              <w:pStyle w:val="Compact"/>
            </w:pPr>
            <w:r>
              <w:t xml:space="preserve">LMS · Viva Learning · Microsoft 365 Compliance</w:t>
            </w:r>
          </w:p>
        </w:tc>
      </w:tr>
      <w:tr>
        <w:tc>
          <w:tcPr/>
          <w:p>
            <w:pPr>
              <w:pStyle w:val="Compact"/>
            </w:pPr>
            <w:r>
              <w:rPr>
                <w:b/>
                <w:bCs/>
              </w:rPr>
              <w:t xml:space="preserve">Vol IV Book 06</w:t>
            </w:r>
          </w:p>
        </w:tc>
        <w:tc>
          <w:tcPr/>
          <w:p>
            <w:pPr>
              <w:pStyle w:val="Compact"/>
            </w:pPr>
            <w:r>
              <w:t xml:space="preserve">Authorization Package and ConMon</w:t>
            </w:r>
          </w:p>
        </w:tc>
        <w:tc>
          <w:tcPr/>
          <w:p>
            <w:pPr>
              <w:pStyle w:val="Compact"/>
            </w:pPr>
            <w:r>
              <w:t xml:space="preserve">CA-2, CA-5, CA-6, CA-7, CA-7(1), CA-7(3), RA-3, SA-15</w:t>
            </w:r>
          </w:p>
        </w:tc>
        <w:tc>
          <w:tcPr/>
          <w:p>
            <w:pPr>
              <w:pStyle w:val="Compact"/>
            </w:pPr>
            <w:r>
              <w:t xml:space="preserve">OSCAL AP+AR+POA&amp;M · FedRAMP VDR/VER (NTC-0014) · ConMon dashboard</w:t>
            </w:r>
          </w:p>
        </w:tc>
      </w:tr>
    </w:tbl>
    <w:p>
      <w:pPr>
        <w:pStyle w:val="BodyText"/>
      </w:pPr>
      <w:r>
        <w:rPr>
          <w:b/>
          <w:bCs/>
        </w:rPr>
        <w:t xml:space="preserve">KSI alignment:</w:t>
      </w:r>
      <w:r>
        <w:t xml:space="preserve"> </w:t>
      </w:r>
      <w:r>
        <w:t xml:space="preserve">Vol III and Vol IV Book 01 map to KSI-MLA (Monitoring, Logging, Alerting),</w:t>
      </w:r>
      <w:r>
        <w:t xml:space="preserve"> </w:t>
      </w:r>
      <w:r>
        <w:t xml:space="preserve">KSI-SVC (Service Configuration), and KSI-IAM (Identity and Access Management)</w:t>
      </w:r>
      <w:r>
        <w:t xml:space="preserve"> </w:t>
      </w:r>
      <w:r>
        <w:t xml:space="preserve">themes in the FedRAMP 20x Consolidated Rules. Vol III Book 06 (Sentinel) is the primary</w:t>
      </w:r>
      <w:r>
        <w:t xml:space="preserve"> </w:t>
      </w:r>
      <w:r>
        <w:t xml:space="preserve">MLA evidence source; Vol III Books 01 and 02 contribute KSI-IAM-ELP (Least Privilege) and</w:t>
      </w:r>
      <w:r>
        <w:t xml:space="preserve"> </w:t>
      </w:r>
      <w:r>
        <w:t xml:space="preserve">KSI-MLA-ALA (Analyzing and Acting on Alerts) respectively. Vol IV Books 02–04 map to</w:t>
      </w:r>
      <w:r>
        <w:t xml:space="preserve"> </w:t>
      </w:r>
      <w:r>
        <w:t xml:space="preserve">KSI-SCR (Supply Chain Risk), KSI-SCR-MON (Continuous Monitoring), and KSI-PIY-RSD</w:t>
      </w:r>
      <w:r>
        <w:t xml:space="preserve"> </w:t>
      </w:r>
      <w:r>
        <w:t xml:space="preserve">(Reviewing Security in SDLC) — the three CR26 themes that require governance and</w:t>
      </w:r>
      <w:r>
        <w:t xml:space="preserve"> </w:t>
      </w:r>
      <w:r>
        <w:t xml:space="preserve">process artifacts rather than infrastructure configuration.</w:t>
      </w:r>
      <w:r>
        <w:t xml:space="preserve"> </w:t>
      </w:r>
      <w:r>
        <w:rPr>
          <w:b/>
          <w:bCs/>
        </w:rPr>
        <w:t xml:space="preserve">Vol IV Book 05 activates</w:t>
      </w:r>
      <w:r>
        <w:rPr>
          <w:b/>
          <w:bCs/>
        </w:rPr>
        <w:t xml:space="preserve"> </w:t>
      </w:r>
      <w:r>
        <w:rPr>
          <w:b/>
          <w:bCs/>
        </w:rPr>
        <w:t xml:space="preserve">KSI-022 (KSI-CED-RAT)</w:t>
      </w:r>
      <w:r>
        <w:t xml:space="preserve">, the only previously scaffolded KSI — delivering the</w:t>
      </w:r>
      <w:r>
        <w:t xml:space="preserve"> </w:t>
      </w:r>
      <w:r>
        <w:t xml:space="preserve">machine-readable LMS training-effectiveness record that binds the AT family to the</w:t>
      </w:r>
      <w:r>
        <w:t xml:space="preserve"> </w:t>
      </w:r>
      <w:r>
        <w:t xml:space="preserve">Conformance Adapter and makes all 29 internal KSI-decomposition rules evaluable.</w:t>
      </w:r>
      <w:r>
        <w:t xml:space="preserve"> </w:t>
      </w:r>
      <w:r>
        <w:rPr>
          <w:b/>
          <w:bCs/>
        </w:rPr>
        <w:t xml:space="preserve">Vol IV Book 06 converts</w:t>
      </w:r>
      <w:r>
        <w:rPr>
          <w:b/>
          <w:bCs/>
        </w:rPr>
        <w:t xml:space="preserve"> </w:t>
      </w:r>
      <w:r>
        <w:rPr>
          <w:b/>
          <w:bCs/>
        </w:rPr>
        <w:t xml:space="preserve">that evaluable state into an authorization package</w:t>
      </w:r>
      <w:r>
        <w:t xml:space="preserve"> </w:t>
      </w:r>
      <w:r>
        <w:t xml:space="preserve">— assembling the OSCAL bundle,</w:t>
      </w:r>
      <w:r>
        <w:t xml:space="preserve"> </w:t>
      </w:r>
      <w:r>
        <w:t xml:space="preserve">filing the FedRAMP VDR/VER submission (NTC-0014), and establishing the CA-7 ConMon program.</w:t>
      </w:r>
    </w:p>
    <w:p>
      <w:r>
        <w:pict>
          <v:rect style="width:0;height:1.5pt" o:hralign="center" o:hrstd="t" o:hr="t"/>
        </w:pict>
      </w:r>
    </w:p>
    <w:bookmarkEnd w:id="60"/>
    <w:bookmarkEnd w:id="61"/>
    <w:bookmarkStart w:id="66" w:name="X7f76883c46055897d8a482a72e4cdd4783e634e"/>
    <w:p>
      <w:pPr>
        <w:pStyle w:val="Heading1"/>
      </w:pPr>
      <w:r>
        <w:t xml:space="preserve">Volumes VI–IX — Deployment, Coordination &amp; Day-2 Coverage</w:t>
      </w:r>
    </w:p>
    <w:p>
      <w:pPr>
        <w:pStyle w:val="FirstParagraph"/>
      </w:pPr>
      <w:r>
        <w:t xml:space="preserve">Volumes I–IV close the controls and Volume V teaches them;</w:t>
      </w:r>
      <w:r>
        <w:t xml:space="preserve"> </w:t>
      </w:r>
      <w:r>
        <w:rPr>
          <w:b/>
          <w:bCs/>
        </w:rPr>
        <w:t xml:space="preserve">Volumes VI–IX make</w:t>
      </w:r>
      <w:r>
        <w:rPr>
          <w:b/>
          <w:bCs/>
        </w:rPr>
        <w:t xml:space="preserve"> </w:t>
      </w:r>
      <w:r>
        <w:rPr>
          <w:b/>
          <w:bCs/>
        </w:rPr>
        <w:t xml:space="preserve">them buildable and operable.</w:t>
      </w:r>
      <w:r>
        <w:t xml:space="preserve"> </w:t>
      </w:r>
      <w:r>
        <w:t xml:space="preserve">These four volumes overwhelmingly</w:t>
      </w:r>
      <w:r>
        <w:t xml:space="preserve"> </w:t>
      </w:r>
      <w:r>
        <w:rPr>
          <w:i/>
          <w:iCs/>
        </w:rPr>
        <w:t xml:space="preserve">re-express</w:t>
      </w:r>
      <w:r>
        <w:t xml:space="preserve"> </w:t>
      </w:r>
      <w:r>
        <w:t xml:space="preserve">controls the architecture volumes already close — at the deployment plane (Vol VI,</w:t>
      </w:r>
      <w:r>
        <w:t xml:space="preserve"> </w:t>
      </w:r>
      <w:r>
        <w:t xml:space="preserve">as code) and the workflow/enforcement plane (Vols VII–IX, as governed, evidenced</w:t>
      </w:r>
      <w:r>
        <w:t xml:space="preserve"> </w:t>
      </w:r>
      <w:r>
        <w:t xml:space="preserve">ServiceNow work) — rather than closing new control numbers. The</w:t>
      </w:r>
      <w:r>
        <w:t xml:space="preserve"> </w:t>
      </w:r>
      <w:r>
        <w:rPr>
          <w:b/>
          <w:bCs/>
        </w:rPr>
        <w:t xml:space="preserve">one</w:t>
      </w:r>
      <w:r>
        <w:t xml:space="preserve"> </w:t>
      </w:r>
      <w:r>
        <w:t xml:space="preserve">genuinely</w:t>
      </w:r>
      <w:r>
        <w:t xml:space="preserve"> </w:t>
      </w:r>
      <w:r>
        <w:t xml:space="preserve">new control number across all four is</w:t>
      </w:r>
      <w:r>
        <w:t xml:space="preserve"> </w:t>
      </w:r>
      <w:r>
        <w:rPr>
          <w:b/>
          <w:bCs/>
        </w:rPr>
        <w:t xml:space="preserve">CM-5</w:t>
      </w:r>
      <w:r>
        <w:t xml:space="preserve"> </w:t>
      </w:r>
      <w:r>
        <w:t xml:space="preserve">(separation-of-duties over DDI</w:t>
      </w:r>
      <w:r>
        <w:t xml:space="preserve"> </w:t>
      </w:r>
      <w:r>
        <w:t xml:space="preserve">change, Vol VIII). The</w:t>
      </w:r>
      <w:r>
        <w:t xml:space="preserve"> </w:t>
      </w:r>
      <w:r>
        <w:rPr>
          <w:b/>
          <w:bCs/>
        </w:rPr>
        <w:t xml:space="preserve">Series Control Crosswalk</w:t>
      </w:r>
      <w:r>
        <w:t xml:space="preserve"> </w:t>
      </w:r>
      <w:r>
        <w:t xml:space="preserve">(Vol 0 appendix) carries the</w:t>
      </w:r>
      <w:r>
        <w:t xml:space="preserve"> </w:t>
      </w:r>
      <w:r>
        <w:t xml:space="preserve">full per-control index; the tables below summarize each volume’s contribution.</w:t>
      </w:r>
    </w:p>
    <w:bookmarkStart w:id="62" w:name="Xe3215d0be8576fc5822efd8385682878d0f4ee7"/>
    <w:p>
      <w:pPr>
        <w:pStyle w:val="Heading2"/>
      </w:pPr>
      <w:r>
        <w:t xml:space="preserve">Volume VI — Implementation (the architecture, as deployable code)</w:t>
      </w:r>
    </w:p>
    <w:p>
      <w:pPr>
        <w:pStyle w:val="FirstParagraph"/>
      </w:pPr>
      <w:r>
        <w:t xml:space="preserve">Each Vol VI book</w:t>
      </w:r>
      <w:r>
        <w:t xml:space="preserve"> </w:t>
      </w:r>
      <w:r>
        <w:rPr>
          <w:i/>
          <w:iCs/>
        </w:rPr>
        <w:t xml:space="preserve">deploys</w:t>
      </w:r>
      <w:r>
        <w:t xml:space="preserve"> </w:t>
      </w:r>
      <w:r>
        <w:t xml:space="preserve">what an architecture book</w:t>
      </w:r>
      <w:r>
        <w:t xml:space="preserve"> </w:t>
      </w:r>
      <w:r>
        <w:rPr>
          <w:i/>
          <w:iCs/>
        </w:rPr>
        <w:t xml:space="preserve">closes</w:t>
      </w:r>
      <w:r>
        <w:t xml:space="preserve"> </w:t>
      </w:r>
      <w:r>
        <w:t xml:space="preserve">— so both the</w:t>
      </w:r>
      <w:r>
        <w:t xml:space="preserve"> </w:t>
      </w:r>
      <w:r>
        <w:t xml:space="preserve">“what”</w:t>
      </w:r>
      <w:r>
        <w:t xml:space="preserve"> </w:t>
      </w:r>
      <w:r>
        <w:t xml:space="preserve">and the</w:t>
      </w:r>
      <w:r>
        <w:t xml:space="preserve"> </w:t>
      </w:r>
      <w:r>
        <w:t xml:space="preserve">“how”</w:t>
      </w:r>
      <w:r>
        <w:t xml:space="preserve"> </w:t>
      </w:r>
      <w:r>
        <w:t xml:space="preserve">are visible on one row of the crosswalk.</w:t>
      </w:r>
    </w:p>
    <w:p>
      <w:pPr>
        <w:pStyle w:val="TableCaption"/>
      </w:pPr>
      <w:r>
        <w:t xml:space="preserve">Volume VI — control operationalization as deployable code</w:t>
      </w:r>
    </w:p>
    <w:tbl>
      <w:tblPr>
        <w:tblStyle w:val="Table"/>
        <w:tblW w:type="pct" w:w="5000"/>
        <w:tblLayout w:type="fixed"/>
        <w:tblLook w:firstRow="1" w:lastRow="0" w:firstColumn="0" w:lastColumn="0" w:noHBand="0" w:noVBand="0" w:val="0020"/>
        <w:tblCaption w:val="Volume VI — control operationalization as deployable code"/>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operationalized (primary families)</w:t>
            </w:r>
          </w:p>
        </w:tc>
        <w:tc>
          <w:tcPr/>
          <w:p>
            <w:pPr>
              <w:pStyle w:val="Compact"/>
            </w:pPr>
            <w:r>
              <w:t xml:space="preserve">Technology</w:t>
            </w:r>
          </w:p>
        </w:tc>
      </w:tr>
      <w:tr>
        <w:tc>
          <w:tcPr/>
          <w:p>
            <w:pPr>
              <w:pStyle w:val="Compact"/>
            </w:pPr>
            <w:r>
              <w:rPr>
                <w:b/>
                <w:bCs/>
              </w:rPr>
              <w:t xml:space="preserve">Vol VI Book 00</w:t>
            </w:r>
          </w:p>
        </w:tc>
        <w:tc>
          <w:tcPr/>
          <w:p>
            <w:pPr>
              <w:pStyle w:val="Compact"/>
            </w:pPr>
            <w:r>
              <w:t xml:space="preserve">Implementation Overview</w:t>
            </w:r>
          </w:p>
        </w:tc>
        <w:tc>
          <w:tcPr/>
          <w:p>
            <w:pPr>
              <w:pStyle w:val="Compact"/>
            </w:pPr>
            <w:r>
              <w:t xml:space="preserve">CM-2, CM-3 (deploy discipline)</w:t>
            </w:r>
          </w:p>
        </w:tc>
        <w:tc>
          <w:tcPr/>
          <w:p>
            <w:pPr>
              <w:pStyle w:val="Compact"/>
            </w:pPr>
            <w:r>
              <w:t xml:space="preserve">IaC · CI/CD</w:t>
            </w:r>
          </w:p>
        </w:tc>
      </w:tr>
      <w:tr>
        <w:tc>
          <w:tcPr/>
          <w:p>
            <w:pPr>
              <w:pStyle w:val="Compact"/>
            </w:pPr>
            <w:r>
              <w:rPr>
                <w:b/>
                <w:bCs/>
              </w:rPr>
              <w:t xml:space="preserve">Vol VI Book 01</w:t>
            </w:r>
          </w:p>
        </w:tc>
        <w:tc>
          <w:tcPr/>
          <w:p>
            <w:pPr>
              <w:pStyle w:val="Compact"/>
            </w:pPr>
            <w:r>
              <w:t xml:space="preserve">Landing Zone &amp; Network as Code</w:t>
            </w:r>
          </w:p>
        </w:tc>
        <w:tc>
          <w:tcPr/>
          <w:p>
            <w:pPr>
              <w:pStyle w:val="Compact"/>
            </w:pPr>
            <w:r>
              <w:t xml:space="preserve">SC-7, SC-20/21/22, CM-8, AC-4</w:t>
            </w:r>
          </w:p>
        </w:tc>
        <w:tc>
          <w:tcPr/>
          <w:p>
            <w:pPr>
              <w:pStyle w:val="Compact"/>
            </w:pPr>
            <w:r>
              <w:t xml:space="preserve">Terraform / Bicep</w:t>
            </w:r>
          </w:p>
        </w:tc>
      </w:tr>
      <w:tr>
        <w:tc>
          <w:tcPr/>
          <w:p>
            <w:pPr>
              <w:pStyle w:val="Compact"/>
            </w:pPr>
            <w:r>
              <w:rPr>
                <w:b/>
                <w:bCs/>
              </w:rPr>
              <w:t xml:space="preserve">Vol VI Book 02</w:t>
            </w:r>
          </w:p>
        </w:tc>
        <w:tc>
          <w:tcPr/>
          <w:p>
            <w:pPr>
              <w:pStyle w:val="Compact"/>
            </w:pPr>
            <w:r>
              <w:t xml:space="preserve">Identity &amp; Access as Code</w:t>
            </w:r>
          </w:p>
        </w:tc>
        <w:tc>
          <w:tcPr/>
          <w:p>
            <w:pPr>
              <w:pStyle w:val="Compact"/>
            </w:pPr>
            <w:r>
              <w:t xml:space="preserve">AC-2/5/6, IA-2/3/5/11, SC-17</w:t>
            </w:r>
          </w:p>
        </w:tc>
        <w:tc>
          <w:tcPr/>
          <w:p>
            <w:pPr>
              <w:pStyle w:val="Compact"/>
            </w:pPr>
            <w:r>
              <w:t xml:space="preserve">Entra · SCIM · policy-as-code</w:t>
            </w:r>
          </w:p>
        </w:tc>
      </w:tr>
      <w:tr>
        <w:tc>
          <w:tcPr/>
          <w:p>
            <w:pPr>
              <w:pStyle w:val="Compact"/>
            </w:pPr>
            <w:r>
              <w:rPr>
                <w:b/>
                <w:bCs/>
              </w:rPr>
              <w:t xml:space="preserve">Vol VI Book 03</w:t>
            </w:r>
          </w:p>
        </w:tc>
        <w:tc>
          <w:tcPr/>
          <w:p>
            <w:pPr>
              <w:pStyle w:val="Compact"/>
            </w:pPr>
            <w:r>
              <w:t xml:space="preserve">Detection Engineering</w:t>
            </w:r>
          </w:p>
        </w:tc>
        <w:tc>
          <w:tcPr/>
          <w:p>
            <w:pPr>
              <w:pStyle w:val="Compact"/>
            </w:pPr>
            <w:r>
              <w:t xml:space="preserve">AU-6, SI-4, AC-7/AC-12</w:t>
            </w:r>
          </w:p>
        </w:tc>
        <w:tc>
          <w:tcPr/>
          <w:p>
            <w:pPr>
              <w:pStyle w:val="Compact"/>
            </w:pPr>
            <w:r>
              <w:t xml:space="preserve">Sentinel KQL rule library</w:t>
            </w:r>
          </w:p>
        </w:tc>
      </w:tr>
      <w:tr>
        <w:tc>
          <w:tcPr/>
          <w:p>
            <w:pPr>
              <w:pStyle w:val="Compact"/>
            </w:pPr>
            <w:r>
              <w:rPr>
                <w:b/>
                <w:bCs/>
              </w:rPr>
              <w:t xml:space="preserve">Vol VI Book 04</w:t>
            </w:r>
          </w:p>
        </w:tc>
        <w:tc>
          <w:tcPr/>
          <w:p>
            <w:pPr>
              <w:pStyle w:val="Compact"/>
            </w:pPr>
            <w:r>
              <w:t xml:space="preserve">Response Automation (SOAR)</w:t>
            </w:r>
          </w:p>
        </w:tc>
        <w:tc>
          <w:tcPr/>
          <w:p>
            <w:pPr>
              <w:pStyle w:val="Compact"/>
            </w:pPr>
            <w:r>
              <w:t xml:space="preserve">IR-4/6, AC-12, AC-2(13)</w:t>
            </w:r>
          </w:p>
        </w:tc>
        <w:tc>
          <w:tcPr/>
          <w:p>
            <w:pPr>
              <w:pStyle w:val="Compact"/>
            </w:pPr>
            <w:r>
              <w:t xml:space="preserve">Logic Apps / SOAR playbooks</w:t>
            </w:r>
          </w:p>
        </w:tc>
      </w:tr>
      <w:tr>
        <w:tc>
          <w:tcPr/>
          <w:p>
            <w:pPr>
              <w:pStyle w:val="Compact"/>
            </w:pPr>
            <w:r>
              <w:rPr>
                <w:b/>
                <w:bCs/>
              </w:rPr>
              <w:t xml:space="preserve">Vol VI Book 05</w:t>
            </w:r>
          </w:p>
        </w:tc>
        <w:tc>
          <w:tcPr/>
          <w:p>
            <w:pPr>
              <w:pStyle w:val="Compact"/>
            </w:pPr>
            <w:r>
              <w:t xml:space="preserve">Data Protection Deployment</w:t>
            </w:r>
          </w:p>
        </w:tc>
        <w:tc>
          <w:tcPr/>
          <w:p>
            <w:pPr>
              <w:pStyle w:val="Compact"/>
            </w:pPr>
            <w:r>
              <w:t xml:space="preserve">MP-2–5, SC-12/17/28, AU-10</w:t>
            </w:r>
          </w:p>
        </w:tc>
        <w:tc>
          <w:tcPr/>
          <w:p>
            <w:pPr>
              <w:pStyle w:val="Compact"/>
            </w:pPr>
            <w:r>
              <w:t xml:space="preserve">Purview · Key Vault</w:t>
            </w:r>
          </w:p>
        </w:tc>
      </w:tr>
      <w:tr>
        <w:tc>
          <w:tcPr/>
          <w:p>
            <w:pPr>
              <w:pStyle w:val="Compact"/>
            </w:pPr>
            <w:r>
              <w:rPr>
                <w:b/>
                <w:bCs/>
              </w:rPr>
              <w:t xml:space="preserve">Vol VI Book 06</w:t>
            </w:r>
          </w:p>
        </w:tc>
        <w:tc>
          <w:tcPr/>
          <w:p>
            <w:pPr>
              <w:pStyle w:val="Compact"/>
            </w:pPr>
            <w:r>
              <w:t xml:space="preserve">Configuration Baselines &amp; Hardening</w:t>
            </w:r>
          </w:p>
        </w:tc>
        <w:tc>
          <w:tcPr/>
          <w:p>
            <w:pPr>
              <w:pStyle w:val="Compact"/>
            </w:pPr>
            <w:r>
              <w:t xml:space="preserve">CM-2/3/6/7, SI-2</w:t>
            </w:r>
          </w:p>
        </w:tc>
        <w:tc>
          <w:tcPr/>
          <w:p>
            <w:pPr>
              <w:pStyle w:val="Compact"/>
            </w:pPr>
            <w:r>
              <w:t xml:space="preserve">Machine Config · hardening</w:t>
            </w:r>
          </w:p>
        </w:tc>
      </w:tr>
      <w:tr>
        <w:tc>
          <w:tcPr/>
          <w:p>
            <w:pPr>
              <w:pStyle w:val="Compact"/>
            </w:pPr>
            <w:r>
              <w:rPr>
                <w:b/>
                <w:bCs/>
              </w:rPr>
              <w:t xml:space="preserve">Vol VI Book 07</w:t>
            </w:r>
          </w:p>
        </w:tc>
        <w:tc>
          <w:tcPr/>
          <w:p>
            <w:pPr>
              <w:pStyle w:val="Compact"/>
            </w:pPr>
            <w:r>
              <w:t xml:space="preserve">Evidence &amp; ConMon Pipeline</w:t>
            </w:r>
          </w:p>
        </w:tc>
        <w:tc>
          <w:tcPr/>
          <w:p>
            <w:pPr>
              <w:pStyle w:val="Compact"/>
            </w:pPr>
            <w:r>
              <w:t xml:space="preserve">AU-6/12, CA-5/7</w:t>
            </w:r>
          </w:p>
        </w:tc>
        <w:tc>
          <w:tcPr/>
          <w:p>
            <w:pPr>
              <w:pStyle w:val="Compact"/>
            </w:pPr>
            <w:r>
              <w:t xml:space="preserve">OSCAL emitter pipeline</w:t>
            </w:r>
          </w:p>
        </w:tc>
      </w:tr>
      <w:tr>
        <w:tc>
          <w:tcPr/>
          <w:p>
            <w:pPr>
              <w:pStyle w:val="Compact"/>
            </w:pPr>
            <w:r>
              <w:rPr>
                <w:b/>
                <w:bCs/>
              </w:rPr>
              <w:t xml:space="preserve">Vol VI Book 08</w:t>
            </w:r>
          </w:p>
        </w:tc>
        <w:tc>
          <w:tcPr/>
          <w:p>
            <w:pPr>
              <w:pStyle w:val="Compact"/>
            </w:pPr>
            <w:r>
              <w:t xml:space="preserve">Validation &amp; Test Harnesses</w:t>
            </w:r>
          </w:p>
        </w:tc>
        <w:tc>
          <w:tcPr/>
          <w:p>
            <w:pPr>
              <w:pStyle w:val="Compact"/>
            </w:pPr>
            <w:r>
              <w:t xml:space="preserve">CA-2/7, SI-4</w:t>
            </w:r>
          </w:p>
        </w:tc>
        <w:tc>
          <w:tcPr/>
          <w:p>
            <w:pPr>
              <w:pStyle w:val="Compact"/>
            </w:pPr>
            <w:r>
              <w:t xml:space="preserve">Conformance test harnesses</w:t>
            </w:r>
          </w:p>
        </w:tc>
      </w:tr>
    </w:tbl>
    <w:bookmarkEnd w:id="62"/>
    <w:bookmarkStart w:id="63" w:name="X05b28046dbd2044d54781c1fae3e9c0a317a118"/>
    <w:p>
      <w:pPr>
        <w:pStyle w:val="Heading2"/>
      </w:pPr>
      <w:r>
        <w:t xml:space="preserve">Volume VII — ServiceNow Control-Compliance Automation</w:t>
      </w:r>
    </w:p>
    <w:p>
      <w:pPr>
        <w:pStyle w:val="FirstParagraph"/>
      </w:pPr>
      <w:r>
        <w:t xml:space="preserve">The coordination layer. ServiceNow’s CMDB</w:t>
      </w:r>
      <w:r>
        <w:t xml:space="preserve"> </w:t>
      </w:r>
      <w:r>
        <w:rPr>
          <w:b/>
          <w:bCs/>
        </w:rPr>
        <w:t xml:space="preserve">reconciles to</w:t>
      </w:r>
      <w:r>
        <w:t xml:space="preserve"> </w:t>
      </w:r>
      <w:r>
        <w:t xml:space="preserve">the authoritative</w:t>
      </w:r>
      <w:r>
        <w:t xml:space="preserve"> </w:t>
      </w:r>
      <w:r>
        <w:t xml:space="preserve">IPAM/DDI asset identity (CM-8 join key) and never becomes the SSOT; cloud reach is</w:t>
      </w:r>
      <w:r>
        <w:t xml:space="preserve"> </w:t>
      </w:r>
      <w:r>
        <w:t xml:space="preserve">via Graph/native APIs from an in-boundary MID Server, with no standing admin, and</w:t>
      </w:r>
      <w:r>
        <w:t xml:space="preserve"> </w:t>
      </w:r>
      <w:r>
        <w:t xml:space="preserve">actuation stays platform-native.</w:t>
      </w:r>
    </w:p>
    <w:p>
      <w:pPr>
        <w:pStyle w:val="TableCaption"/>
      </w:pPr>
      <w:r>
        <w:t xml:space="preserve">Volume VII — ServiceNow control-compliance coordination</w:t>
      </w:r>
    </w:p>
    <w:tbl>
      <w:tblPr>
        <w:tblStyle w:val="Table"/>
        <w:tblW w:type="pct" w:w="5000"/>
        <w:tblLayout w:type="fixed"/>
        <w:tblLook w:firstRow="1" w:lastRow="0" w:firstColumn="0" w:lastColumn="0" w:noHBand="0" w:noVBand="0" w:val="0020"/>
        <w:tblCaption w:val="Volume VII — ServiceNow control-compliance coordination"/>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coordinated</w:t>
            </w:r>
          </w:p>
        </w:tc>
        <w:tc>
          <w:tcPr/>
          <w:p>
            <w:pPr>
              <w:pStyle w:val="Compact"/>
            </w:pPr>
            <w:r>
              <w:t xml:space="preserve">Mechanism (function, not product)</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CM-8, CM-3</w:t>
            </w:r>
          </w:p>
        </w:tc>
        <w:tc>
          <w:tcPr/>
          <w:p>
            <w:pPr>
              <w:pStyle w:val="Compact"/>
            </w:pPr>
            <w:r>
              <w:t xml:space="preserve">CMDB reconciled to the IPAM/DDI CM-8 join key; change gated before actuation</w:t>
            </w:r>
          </w:p>
        </w:tc>
      </w:tr>
      <w:tr>
        <w:tc>
          <w:tcPr/>
          <w:p>
            <w:pPr>
              <w:pStyle w:val="Compact"/>
            </w:pPr>
            <w:r>
              <w:rPr>
                <w:b/>
                <w:bCs/>
              </w:rPr>
              <w:t xml:space="preserve">Vol VII Book 02</w:t>
            </w:r>
          </w:p>
        </w:tc>
        <w:tc>
          <w:tcPr/>
          <w:p>
            <w:pPr>
              <w:pStyle w:val="Compact"/>
            </w:pPr>
            <w:r>
              <w:t xml:space="preserve">M365 Control-Compliance Automation</w:t>
            </w:r>
          </w:p>
        </w:tc>
        <w:tc>
          <w:tcPr/>
          <w:p>
            <w:pPr>
              <w:pStyle w:val="Compact"/>
            </w:pPr>
            <w:r>
              <w:t xml:space="preserve">CM-6, AC-2, CA-7</w:t>
            </w:r>
          </w:p>
        </w:tc>
        <w:tc>
          <w:tcPr/>
          <w:p>
            <w:pPr>
              <w:pStyle w:val="Compact"/>
            </w:pPr>
            <w:r>
              <w:t xml:space="preserve">SCuBA/baseline drift → tracked ServiceNow task; M365 test results → attestation → KSI feed</w:t>
            </w:r>
          </w:p>
        </w:tc>
      </w:tr>
      <w:tr>
        <w:tc>
          <w:tcPr/>
          <w:p>
            <w:pPr>
              <w:pStyle w:val="Compact"/>
            </w:pPr>
            <w:r>
              <w:rPr>
                <w:b/>
                <w:bCs/>
              </w:rPr>
              <w:t xml:space="preserve">Vol VII Book 03</w:t>
            </w:r>
          </w:p>
        </w:tc>
        <w:tc>
          <w:tcPr/>
          <w:p>
            <w:pPr>
              <w:pStyle w:val="Compact"/>
            </w:pPr>
            <w:r>
              <w:t xml:space="preserve">Azure Control-Compliance Automation</w:t>
            </w:r>
          </w:p>
        </w:tc>
        <w:tc>
          <w:tcPr/>
          <w:p>
            <w:pPr>
              <w:pStyle w:val="Compact"/>
            </w:pPr>
            <w:r>
              <w:t xml:space="preserve">CM-6, SI-2, RA-5</w:t>
            </w:r>
          </w:p>
        </w:tc>
        <w:tc>
          <w:tcPr/>
          <w:p>
            <w:pPr>
              <w:pStyle w:val="Compact"/>
            </w:pPr>
            <w:r>
              <w:t xml:space="preserve">Azure Policy / Defender / Update Manager findings → ServiceNow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CA-2, CA-5, CA-7</w:t>
            </w:r>
          </w:p>
        </w:tc>
        <w:tc>
          <w:tcPr/>
          <w:p>
            <w:pPr>
              <w:pStyle w:val="Compact"/>
            </w:pPr>
            <w:r>
              <w:t xml:space="preserve">ServiceNow IRM/GRC control tests + POA&amp;M → OSCAL/KSI evidence into the ConMon package</w:t>
            </w:r>
          </w:p>
        </w:tc>
      </w:tr>
    </w:tbl>
    <w:bookmarkEnd w:id="63"/>
    <w:bookmarkStart w:id="64" w:name="Xe98186fc8e3e984d63b88b7f4ff1af5f68a7961"/>
    <w:p>
      <w:pPr>
        <w:pStyle w:val="Heading2"/>
      </w:pPr>
      <w:r>
        <w:t xml:space="preserve">Volume VIII — Multi-Cloud DDI Landing-Zone Automation</w:t>
      </w:r>
    </w:p>
    <w:p>
      <w:pPr>
        <w:pStyle w:val="FirstParagraph"/>
      </w:pPr>
      <w:r>
        <w:t xml:space="preserve">The naming/addressing plane realized across</w:t>
      </w:r>
      <w:r>
        <w:t xml:space="preserve"> </w:t>
      </w:r>
      <w:r>
        <w:rPr>
          <w:b/>
          <w:bCs/>
        </w:rPr>
        <w:t xml:space="preserve">Azure, AWS, GCP, OCI, and VMware</w:t>
      </w:r>
      <w:r>
        <w:t xml:space="preserve"> </w:t>
      </w:r>
      <w:r>
        <w:t xml:space="preserve">—</w:t>
      </w:r>
      <w:r>
        <w:t xml:space="preserve"> </w:t>
      </w:r>
      <w:r>
        <w:t xml:space="preserve">the series’ one deliberate multi-CSP breadth exception — with ServiceNow as the</w:t>
      </w:r>
      <w:r>
        <w:t xml:space="preserve"> </w:t>
      </w:r>
      <w:r>
        <w:t xml:space="preserve">governed front door for DDI change. Naming-plane</w:t>
      </w:r>
      <w:r>
        <w:t xml:space="preserve"> </w:t>
      </w:r>
      <w:r>
        <w:rPr>
          <w:i/>
          <w:iCs/>
        </w:rPr>
        <w:t xml:space="preserve">necessity</w:t>
      </w:r>
      <w:r>
        <w:t xml:space="preserve"> </w:t>
      </w:r>
      <w:r>
        <w:t xml:space="preserve">is anchored in Vol I</w:t>
      </w:r>
      <w:r>
        <w:t xml:space="preserve"> </w:t>
      </w:r>
      <w:r>
        <w:t xml:space="preserve">Book 01; here it is the multi-cloud build-out.</w:t>
      </w:r>
    </w:p>
    <w:p>
      <w:pPr>
        <w:pStyle w:val="TableCaption"/>
      </w:pPr>
      <w:r>
        <w:t xml:space="preserve">Volume VIII — multi-cloud DDI, the naming plane across every cloud</w:t>
      </w:r>
    </w:p>
    <w:tbl>
      <w:tblPr>
        <w:tblStyle w:val="Table"/>
        <w:tblW w:type="pct" w:w="5000"/>
        <w:tblLayout w:type="fixed"/>
        <w:tblLook w:firstRow="1" w:lastRow="0" w:firstColumn="0" w:lastColumn="0" w:noHBand="0" w:noVBand="0" w:val="0020"/>
        <w:tblCaption w:val="Volume VIII — multi-cloud DDI, the naming plane across every cloud"/>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VIII Book 06</w:t>
            </w:r>
          </w:p>
        </w:tc>
        <w:tc>
          <w:tcPr/>
          <w:p>
            <w:pPr>
              <w:pStyle w:val="Compact"/>
            </w:pPr>
            <w:r>
              <w:t xml:space="preserve">Cross-Platform Operations &amp; Multi-Cloud Governance</w:t>
            </w:r>
          </w:p>
        </w:tc>
        <w:tc>
          <w:tcPr/>
          <w:p>
            <w:pPr>
              <w:pStyle w:val="Compact"/>
            </w:pPr>
            <w:r>
              <w:t xml:space="preserve">SC-20, SC-22, CM-8</w:t>
            </w:r>
          </w:p>
        </w:tc>
        <w:tc>
          <w:tcPr/>
          <w:p>
            <w:pPr>
              <w:pStyle w:val="Compact"/>
            </w:pPr>
            <w:r>
              <w:t xml:space="preserve">One authoritative Infoblox DDI plane across all five clouds; IPAM as the CM-8 join key</w:t>
            </w:r>
          </w:p>
        </w:tc>
      </w:tr>
      <w:tr>
        <w:tc>
          <w:tcPr/>
          <w:p>
            <w:pPr>
              <w:pStyle w:val="Compact"/>
            </w:pPr>
            <w:r>
              <w:rPr>
                <w:b/>
                <w:bCs/>
              </w:rPr>
              <w:t xml:space="preserve">Vol VIII Book 07</w:t>
            </w:r>
          </w:p>
        </w:tc>
        <w:tc>
          <w:tcPr/>
          <w:p>
            <w:pPr>
              <w:pStyle w:val="Compact"/>
            </w:pPr>
            <w:r>
              <w:t xml:space="preserve">ServiceNow Orchestration — Governed DDI Front Door</w:t>
            </w:r>
          </w:p>
        </w:tc>
        <w:tc>
          <w:tcPr/>
          <w:p>
            <w:pPr>
              <w:pStyle w:val="Compact"/>
            </w:pPr>
            <w:r>
              <w:t xml:space="preserve">CM-3,</w:t>
            </w:r>
            <w:r>
              <w:t xml:space="preserve"> </w:t>
            </w:r>
            <w:r>
              <w:rPr>
                <w:b/>
                <w:bCs/>
              </w:rPr>
              <w:t xml:space="preserve">CM-5</w:t>
            </w:r>
            <w:r>
              <w:t xml:space="preserve">, AU-2</w:t>
            </w:r>
          </w:p>
        </w:tc>
        <w:tc>
          <w:tcPr/>
          <w:p>
            <w:pPr>
              <w:pStyle w:val="Compact"/>
            </w:pPr>
            <w:r>
              <w:t xml:space="preserve">Catalog → Flow approval/SoD → Terraform apply → validation → CMDB close; immutable audit trail</w:t>
            </w:r>
          </w:p>
        </w:tc>
      </w:tr>
    </w:tbl>
    <w:bookmarkEnd w:id="64"/>
    <w:bookmarkStart w:id="65" w:name="volume-ix-servicenow-day-2-operations"/>
    <w:p>
      <w:pPr>
        <w:pStyle w:val="Heading2"/>
      </w:pPr>
      <w:r>
        <w:t xml:space="preserve">Volume IX — ServiceNow Day-2 Operations</w:t>
      </w:r>
    </w:p>
    <w:p>
      <w:pPr>
        <w:pStyle w:val="FirstParagraph"/>
      </w:pPr>
      <w:r>
        <w:t xml:space="preserve">The governed catalog for routine Entra/M365/Azure day-2 work — same discipline as</w:t>
      </w:r>
      <w:r>
        <w:t xml:space="preserve"> </w:t>
      </w:r>
      <w:r>
        <w:t xml:space="preserve">Vol VII (Graph via in-boundary MID, no standing admin, every action audited and</w:t>
      </w:r>
      <w:r>
        <w:t xml:space="preserve"> </w:t>
      </w:r>
      <w:r>
        <w:t xml:space="preserve">reconciled to CM-8).</w:t>
      </w:r>
    </w:p>
    <w:p>
      <w:pPr>
        <w:pStyle w:val="TableCaption"/>
      </w:pPr>
      <w:r>
        <w:t xml:space="preserve">Volume IX — governed day-2 operations</w:t>
      </w:r>
    </w:p>
    <w:tbl>
      <w:tblPr>
        <w:tblStyle w:val="Table"/>
        <w:tblW w:type="pct" w:w="5000"/>
        <w:tblLayout w:type="fixed"/>
        <w:tblLook w:firstRow="1" w:lastRow="0" w:firstColumn="0" w:lastColumn="0" w:noHBand="0" w:noVBand="0" w:val="0020"/>
        <w:tblCaption w:val="Volume IX — governed day-2 operations"/>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IX Book 01</w:t>
            </w:r>
          </w:p>
        </w:tc>
        <w:tc>
          <w:tcPr/>
          <w:p>
            <w:pPr>
              <w:pStyle w:val="Compact"/>
            </w:pPr>
            <w:r>
              <w:t xml:space="preserve">Helpdesk &amp; ITSM Catalog</w:t>
            </w:r>
          </w:p>
        </w:tc>
        <w:tc>
          <w:tcPr/>
          <w:p>
            <w:pPr>
              <w:pStyle w:val="Compact"/>
            </w:pPr>
            <w:r>
              <w:t xml:space="preserve">AC-2, IA-5, AC-6</w:t>
            </w:r>
          </w:p>
        </w:tc>
        <w:tc>
          <w:tcPr/>
          <w:p>
            <w:pPr>
              <w:pStyle w:val="Compact"/>
            </w:pPr>
            <w:r>
              <w:t xml:space="preserve">Joiner/mover/leaver, credential resets, and time-bound group requests as governed catalog items — no standing elevation from a helpdesk click</w:t>
            </w:r>
          </w:p>
        </w:tc>
      </w:tr>
      <w:tr>
        <w:tc>
          <w:tcPr/>
          <w:p>
            <w:pPr>
              <w:pStyle w:val="Compact"/>
            </w:pPr>
            <w:r>
              <w:rPr>
                <w:b/>
                <w:bCs/>
              </w:rPr>
              <w:t xml:space="preserve">Vol IX Book 02</w:t>
            </w:r>
          </w:p>
        </w:tc>
        <w:tc>
          <w:tcPr/>
          <w:p>
            <w:pPr>
              <w:pStyle w:val="Compact"/>
            </w:pPr>
            <w:r>
              <w:t xml:space="preserve">Landing Zone Front Door</w:t>
            </w:r>
          </w:p>
        </w:tc>
        <w:tc>
          <w:tcPr/>
          <w:p>
            <w:pPr>
              <w:pStyle w:val="Compact"/>
            </w:pPr>
            <w:r>
              <w:t xml:space="preserve">CM-2, CM-8, CM-3</w:t>
            </w:r>
          </w:p>
        </w:tc>
        <w:tc>
          <w:tcPr/>
          <w:p>
            <w:pPr>
              <w:pStyle w:val="Compact"/>
            </w:pPr>
            <w:r>
              <w:t xml:space="preserve">Catalog → speculative Terraform plan → apply → validation → CMDB close; subnets reconciled to IPAM/DDI at provisioning</w:t>
            </w:r>
          </w:p>
        </w:tc>
      </w:tr>
      <w:tr>
        <w:tc>
          <w:tcPr/>
          <w:p>
            <w:pPr>
              <w:pStyle w:val="Compact"/>
            </w:pPr>
            <w:r>
              <w:rPr>
                <w:b/>
                <w:bCs/>
              </w:rPr>
              <w:t xml:space="preserve">Vol IX Book 03</w:t>
            </w:r>
          </w:p>
        </w:tc>
        <w:tc>
          <w:tcPr/>
          <w:p>
            <w:pPr>
              <w:pStyle w:val="Compact"/>
            </w:pPr>
            <w:r>
              <w:t xml:space="preserve">App Registration Governance</w:t>
            </w:r>
          </w:p>
        </w:tc>
        <w:tc>
          <w:tcPr/>
          <w:p>
            <w:pPr>
              <w:pStyle w:val="Compact"/>
            </w:pPr>
            <w:r>
              <w:t xml:space="preserve">IA-5(2), SC-17, AC-6</w:t>
            </w:r>
          </w:p>
        </w:tc>
        <w:tc>
          <w:tcPr/>
          <w:p>
            <w:pPr>
              <w:pStyle w:val="Compact"/>
            </w:pPr>
            <w:r>
              <w:t xml:space="preserve">Short-lived (ACME) app credentials with mandatory expiry; scoped consent gated by a security approver; orphaned registrations flagged</w:t>
            </w:r>
          </w:p>
        </w:tc>
      </w:tr>
      <w:tr>
        <w:tc>
          <w:tcPr/>
          <w:p>
            <w:pPr>
              <w:pStyle w:val="Compact"/>
            </w:pPr>
            <w:r>
              <w:rPr>
                <w:b/>
                <w:bCs/>
              </w:rPr>
              <w:t xml:space="preserve">Vol IX Book 04</w:t>
            </w:r>
          </w:p>
        </w:tc>
        <w:tc>
          <w:tcPr/>
          <w:p>
            <w:pPr>
              <w:pStyle w:val="Compact"/>
            </w:pPr>
            <w:r>
              <w:t xml:space="preserve">Teams Telephony Catalog &amp; SCuBA Drift</w:t>
            </w:r>
          </w:p>
        </w:tc>
        <w:tc>
          <w:tcPr/>
          <w:p>
            <w:pPr>
              <w:pStyle w:val="Compact"/>
            </w:pPr>
            <w:r>
              <w:t xml:space="preserve">CM-3, CM-6, AU-2</w:t>
            </w:r>
          </w:p>
        </w:tc>
        <w:tc>
          <w:tcPr/>
          <w:p>
            <w:pPr>
              <w:pStyle w:val="Compact"/>
            </w:pPr>
            <w:r>
              <w:t xml:space="preserve">Number/calling-policy/voice-routing changes with E911 validation; Teams SCuBA drift folded into the Vol VII M365 loop</w:t>
            </w:r>
          </w:p>
        </w:tc>
      </w:tr>
      <w:tr>
        <w:tc>
          <w:tcPr/>
          <w:p>
            <w:pPr>
              <w:pStyle w:val="Compact"/>
            </w:pPr>
            <w:r>
              <w:rPr>
                <w:b/>
                <w:bCs/>
              </w:rPr>
              <w:t xml:space="preserve">Vol IX Book 06</w:t>
            </w:r>
          </w:p>
        </w:tc>
        <w:tc>
          <w:tcPr/>
          <w:p>
            <w:pPr>
              <w:pStyle w:val="Compact"/>
            </w:pPr>
            <w:r>
              <w:t xml:space="preserve">Identity &amp; Access Governance</w:t>
            </w:r>
          </w:p>
        </w:tc>
        <w:tc>
          <w:tcPr/>
          <w:p>
            <w:pPr>
              <w:pStyle w:val="Compact"/>
            </w:pPr>
            <w:r>
              <w:t xml:space="preserve">AC-2, AC-5, AC-6, IA-4, IA-5, AU-2</w:t>
            </w:r>
          </w:p>
        </w:tc>
        <w:tc>
          <w:tcPr/>
          <w:p>
            <w:pPr>
              <w:pStyle w:val="Compact"/>
            </w:pPr>
            <w:r>
              <w:t xml:space="preserve">Event-driven JML from the HRIT SSOT, access-certification campaigns, and the IAM evidence feed — Kit Expansion Phase 2, gated on requirements v1.0</w:t>
            </w:r>
          </w:p>
        </w:tc>
      </w:tr>
    </w:tbl>
    <w:p>
      <w:r>
        <w:pict>
          <v:rect style="width:0;height:1.5pt" o:hralign="center" o:hrstd="t" o:hr="t"/>
        </w:pict>
      </w:r>
    </w:p>
    <w:bookmarkEnd w:id="65"/>
    <w:bookmarkEnd w:id="66"/>
    <w:bookmarkStart w:id="70" w:name="combined-control-closure-summary"/>
    <w:p>
      <w:pPr>
        <w:pStyle w:val="Heading1"/>
      </w:pPr>
      <w:r>
        <w:t xml:space="preserve">Combined Control Closure Summary</w:t>
      </w:r>
    </w:p>
    <w:bookmarkStart w:id="67" w:name="Xc805d336c29df527345de47b793a43e25d172b4"/>
    <w:p>
      <w:pPr>
        <w:pStyle w:val="Heading2"/>
      </w:pPr>
      <w:r>
        <w:t xml:space="preserve">Total Controls Closed Across the Original Six Tracks (Vol I Books 01, 05, 06 and Vol II)</w:t>
      </w:r>
    </w:p>
    <w:p>
      <w:pPr>
        <w:pStyle w:val="TableCaption"/>
      </w:pPr>
      <w:r>
        <w:t xml:space="preserve">Combined Control Coverage by Family and Technology</w:t>
      </w:r>
    </w:p>
    <w:tbl>
      <w:tblPr>
        <w:tblStyle w:val="Table"/>
        <w:tblW w:type="pct" w:w="5000"/>
        <w:tblLayout w:type="fixed"/>
        <w:tblLook w:firstRow="1" w:lastRow="0" w:firstColumn="0" w:lastColumn="0" w:noHBand="0" w:noVBand="0" w:val="0020"/>
        <w:tblCaption w:val="Combined Control Coverage by Family and Technology"/>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Technology</w:t>
            </w:r>
          </w:p>
        </w:tc>
        <w:tc>
          <w:tcPr/>
          <w:p>
            <w:pPr>
              <w:pStyle w:val="Compact"/>
            </w:pPr>
            <w:r>
              <w:t xml:space="preserve">Controls Closed</w:t>
            </w:r>
          </w:p>
        </w:tc>
        <w:tc>
          <w:tcPr/>
          <w:p>
            <w:pPr>
              <w:pStyle w:val="Compact"/>
            </w:pPr>
            <w:r>
              <w:t xml:space="preserve">Implementing Track</w:t>
            </w:r>
          </w:p>
        </w:tc>
      </w:tr>
      <w:tr>
        <w:tc>
          <w:tcPr/>
          <w:p>
            <w:pPr>
              <w:pStyle w:val="Compact"/>
            </w:pPr>
            <w:r>
              <w:rPr>
                <w:b/>
                <w:bCs/>
              </w:rPr>
              <w:t xml:space="preserve">SC</w:t>
            </w:r>
            <w:r>
              <w:t xml:space="preserve"> </w:t>
            </w:r>
            <w:r>
              <w:t xml:space="preserve">— System and Communications Protection</w:t>
            </w:r>
          </w:p>
        </w:tc>
        <w:tc>
          <w:tcPr/>
          <w:p>
            <w:pPr>
              <w:pStyle w:val="Compact"/>
            </w:pPr>
            <w:r>
              <w:t xml:space="preserve">InfoBlox DNSSEC, RPZ, PKI; SD-WAN IPsec; SASE SWG; TDE; QoS</w:t>
            </w:r>
          </w:p>
        </w:tc>
        <w:tc>
          <w:tcPr/>
          <w:p>
            <w:pPr>
              <w:pStyle w:val="Compact"/>
            </w:pPr>
            <w:r>
              <w:t xml:space="preserve">SC-5, SC-7, SC-7(7), SC-8, SC-8(1), SC-20, SC-20(1), SC-21, SC-22, SC-28</w:t>
            </w:r>
          </w:p>
        </w:tc>
        <w:tc>
          <w:tcPr/>
          <w:p>
            <w:pPr>
              <w:pStyle w:val="Compact"/>
            </w:pPr>
            <w:r>
              <w:t xml:space="preserve">Vol I Books 01, 05, 06 and Vol II Book 03</w:t>
            </w:r>
          </w:p>
        </w:tc>
      </w:tr>
      <w:tr>
        <w:tc>
          <w:tcPr/>
          <w:p>
            <w:pPr>
              <w:pStyle w:val="Compact"/>
            </w:pPr>
            <w:r>
              <w:rPr>
                <w:b/>
                <w:bCs/>
              </w:rPr>
              <w:t xml:space="preserve">CM</w:t>
            </w:r>
            <w:r>
              <w:t xml:space="preserve"> </w:t>
            </w:r>
            <w:r>
              <w:t xml:space="preserve">— Configuration Management</w:t>
            </w:r>
          </w:p>
        </w:tc>
        <w:tc>
          <w:tcPr/>
          <w:p>
            <w:pPr>
              <w:pStyle w:val="Compact"/>
            </w:pPr>
            <w:r>
              <w:t xml:space="preserve">InfoBlox IPAM; Drift Reconciliation; SQL estate inventory</w:t>
            </w:r>
          </w:p>
        </w:tc>
        <w:tc>
          <w:tcPr/>
          <w:p>
            <w:pPr>
              <w:pStyle w:val="Compact"/>
            </w:pPr>
            <w:r>
              <w:t xml:space="preserve">CM-2, CM-6, CM-8, CM-8(1)</w:t>
            </w:r>
          </w:p>
        </w:tc>
        <w:tc>
          <w:tcPr/>
          <w:p>
            <w:pPr>
              <w:pStyle w:val="Compact"/>
            </w:pPr>
            <w:r>
              <w:t xml:space="preserve">Vol I Books 01, 05 and Vol II Books 01–02</w:t>
            </w:r>
          </w:p>
        </w:tc>
      </w:tr>
      <w:tr>
        <w:tc>
          <w:tcPr/>
          <w:p>
            <w:pPr>
              <w:pStyle w:val="Compact"/>
            </w:pPr>
            <w:r>
              <w:rPr>
                <w:b/>
                <w:bCs/>
              </w:rPr>
              <w:t xml:space="preserve">AU</w:t>
            </w:r>
            <w:r>
              <w:t xml:space="preserve"> </w:t>
            </w:r>
            <w:r>
              <w:t xml:space="preserve">— Audit and Accountability</w:t>
            </w:r>
          </w:p>
        </w:tc>
        <w:tc>
          <w:tcPr/>
          <w:p>
            <w:pPr>
              <w:pStyle w:val="Compact"/>
            </w:pPr>
            <w:r>
              <w:t xml:space="preserve">InfoBlox Syslog; SASE Session Logs; Entra ID Logs; Geo-replicated audit</w:t>
            </w:r>
          </w:p>
        </w:tc>
        <w:tc>
          <w:tcPr/>
          <w:p>
            <w:pPr>
              <w:pStyle w:val="Compact"/>
            </w:pPr>
            <w:r>
              <w:t xml:space="preserve">AU-2, AU-9, AU-12</w:t>
            </w:r>
          </w:p>
        </w:tc>
        <w:tc>
          <w:tcPr/>
          <w:p>
            <w:pPr>
              <w:pStyle w:val="Compact"/>
            </w:pPr>
            <w:r>
              <w:t xml:space="preserve">Vol I Books 01, 05, 06 and Vol II</w:t>
            </w:r>
          </w:p>
        </w:tc>
      </w:tr>
      <w:tr>
        <w:tc>
          <w:tcPr/>
          <w:p>
            <w:pPr>
              <w:pStyle w:val="Compact"/>
            </w:pPr>
            <w:r>
              <w:rPr>
                <w:b/>
                <w:bCs/>
              </w:rPr>
              <w:t xml:space="preserve">IA</w:t>
            </w:r>
            <w:r>
              <w:t xml:space="preserve"> </w:t>
            </w:r>
            <w:r>
              <w:t xml:space="preserve">— Identification and Authentication</w:t>
            </w:r>
          </w:p>
        </w:tc>
        <w:tc>
          <w:tcPr/>
          <w:p>
            <w:pPr>
              <w:pStyle w:val="Compact"/>
            </w:pPr>
            <w:r>
              <w:t xml:space="preserve">InfoBlox PKI / SCEP; Entra ID Conditional Access; Intune MDM; Arc + Entra for SQL</w:t>
            </w:r>
          </w:p>
        </w:tc>
        <w:tc>
          <w:tcPr/>
          <w:p>
            <w:pPr>
              <w:pStyle w:val="Compact"/>
            </w:pPr>
            <w:r>
              <w:t xml:space="preserve">IA-2, IA-2(1), IA-3, IA-5, IA-5(2), IA-8, IA-9</w:t>
            </w:r>
          </w:p>
        </w:tc>
        <w:tc>
          <w:tcPr/>
          <w:p>
            <w:pPr>
              <w:pStyle w:val="Compact"/>
            </w:pPr>
            <w:r>
              <w:t xml:space="preserve">Vol I Books 01, 05 and Vol II Books 01–02</w:t>
            </w:r>
          </w:p>
        </w:tc>
      </w:tr>
      <w:tr>
        <w:tc>
          <w:tcPr/>
          <w:p>
            <w:pPr>
              <w:pStyle w:val="Compact"/>
            </w:pPr>
            <w:r>
              <w:rPr>
                <w:b/>
                <w:bCs/>
              </w:rPr>
              <w:t xml:space="preserve">AC</w:t>
            </w:r>
            <w:r>
              <w:t xml:space="preserve"> </w:t>
            </w:r>
            <w:r>
              <w:t xml:space="preserve">— Access Control</w:t>
            </w:r>
          </w:p>
        </w:tc>
        <w:tc>
          <w:tcPr/>
          <w:p>
            <w:pPr>
              <w:pStyle w:val="Compact"/>
            </w:pPr>
            <w:r>
              <w:t xml:space="preserve">SASE CASB; ZTNA; Entra ID OPM HRIT; SQL Entra groups</w:t>
            </w:r>
          </w:p>
        </w:tc>
        <w:tc>
          <w:tcPr/>
          <w:p>
            <w:pPr>
              <w:pStyle w:val="Compact"/>
            </w:pPr>
            <w:r>
              <w:t xml:space="preserve">AC-2, AC-3, AC-4, AC-17</w:t>
            </w:r>
          </w:p>
        </w:tc>
        <w:tc>
          <w:tcPr/>
          <w:p>
            <w:pPr>
              <w:pStyle w:val="Compact"/>
            </w:pPr>
            <w:r>
              <w:t xml:space="preserve">Vol I Books 05–06 and Vol II Books 01–02</w:t>
            </w:r>
          </w:p>
        </w:tc>
      </w:tr>
      <w:tr>
        <w:tc>
          <w:tcPr/>
          <w:p>
            <w:pPr>
              <w:pStyle w:val="Compact"/>
            </w:pPr>
            <w:r>
              <w:rPr>
                <w:b/>
                <w:bCs/>
              </w:rPr>
              <w:t xml:space="preserve">CA</w:t>
            </w:r>
            <w:r>
              <w:t xml:space="preserve"> </w:t>
            </w:r>
            <w:r>
              <w:t xml:space="preserve">— Assessment, Authorization, and Monitoring</w:t>
            </w:r>
          </w:p>
        </w:tc>
        <w:tc>
          <w:tcPr/>
          <w:p>
            <w:pPr>
              <w:pStyle w:val="Compact"/>
            </w:pPr>
            <w:r>
              <w:t xml:space="preserve">SASE; Drift Reconciliation; SQL compliance record; Entra cross-system token</w:t>
            </w:r>
          </w:p>
        </w:tc>
        <w:tc>
          <w:tcPr/>
          <w:p>
            <w:pPr>
              <w:pStyle w:val="Compact"/>
            </w:pPr>
            <w:r>
              <w:t xml:space="preserve">CA-3, CA-7</w:t>
            </w:r>
          </w:p>
        </w:tc>
        <w:tc>
          <w:tcPr/>
          <w:p>
            <w:pPr>
              <w:pStyle w:val="Compact"/>
            </w:pPr>
            <w:r>
              <w:t xml:space="preserve">Vol I Books 05–06 and Vol II</w:t>
            </w:r>
          </w:p>
        </w:tc>
      </w:tr>
      <w:tr>
        <w:tc>
          <w:tcPr/>
          <w:p>
            <w:pPr>
              <w:pStyle w:val="Compact"/>
            </w:pPr>
            <w:r>
              <w:rPr>
                <w:b/>
                <w:bCs/>
              </w:rPr>
              <w:t xml:space="preserve">CP</w:t>
            </w:r>
            <w:r>
              <w:t xml:space="preserve"> </w:t>
            </w:r>
            <w:r>
              <w:t xml:space="preserve">— Contingency Planning</w:t>
            </w:r>
          </w:p>
        </w:tc>
        <w:tc>
          <w:tcPr/>
          <w:p>
            <w:pPr>
              <w:pStyle w:val="Compact"/>
            </w:pPr>
            <w:r>
              <w:t xml:space="preserve">DR replica + backup; DR runbook</w:t>
            </w:r>
          </w:p>
        </w:tc>
        <w:tc>
          <w:tcPr/>
          <w:p>
            <w:pPr>
              <w:pStyle w:val="Compact"/>
            </w:pPr>
            <w:r>
              <w:t xml:space="preserve">CP-9, CP-10</w:t>
            </w:r>
          </w:p>
        </w:tc>
        <w:tc>
          <w:tcPr/>
          <w:p>
            <w:pPr>
              <w:pStyle w:val="Compact"/>
            </w:pPr>
            <w:r>
              <w:t xml:space="preserve">Vol II Book 03</w:t>
            </w:r>
          </w:p>
        </w:tc>
      </w:tr>
      <w:tr>
        <w:tc>
          <w:tcPr/>
          <w:p>
            <w:pPr>
              <w:pStyle w:val="Compact"/>
            </w:pPr>
            <w:r>
              <w:rPr>
                <w:b/>
                <w:bCs/>
              </w:rPr>
              <w:t xml:space="preserve">IR</w:t>
            </w:r>
            <w:r>
              <w:t xml:space="preserve"> </w:t>
            </w:r>
            <w:r>
              <w:t xml:space="preserve">— Incident Response</w:t>
            </w:r>
          </w:p>
        </w:tc>
        <w:tc>
          <w:tcPr/>
          <w:p>
            <w:pPr>
              <w:pStyle w:val="Compact"/>
            </w:pPr>
            <w:r>
              <w:t xml:space="preserve">InfoBlox RPZ + SIEM Integration</w:t>
            </w:r>
          </w:p>
        </w:tc>
        <w:tc>
          <w:tcPr/>
          <w:p>
            <w:pPr>
              <w:pStyle w:val="Compact"/>
            </w:pPr>
            <w:r>
              <w:t xml:space="preserve">IR-4, IR-5</w:t>
            </w:r>
          </w:p>
        </w:tc>
        <w:tc>
          <w:tcPr/>
          <w:p>
            <w:pPr>
              <w:pStyle w:val="Compact"/>
            </w:pPr>
            <w:r>
              <w:t xml:space="preserve">Vol I Book 01</w:t>
            </w:r>
          </w:p>
        </w:tc>
      </w:tr>
      <w:tr>
        <w:tc>
          <w:tcPr/>
          <w:p>
            <w:pPr>
              <w:pStyle w:val="Compact"/>
            </w:pPr>
            <w:r>
              <w:rPr>
                <w:b/>
                <w:bCs/>
              </w:rPr>
              <w:t xml:space="preserve">SA</w:t>
            </w:r>
            <w:r>
              <w:t xml:space="preserve"> </w:t>
            </w:r>
            <w:r>
              <w:t xml:space="preserve">— System and Services Acquisition</w:t>
            </w:r>
          </w:p>
        </w:tc>
        <w:tc>
          <w:tcPr/>
          <w:p>
            <w:pPr>
              <w:pStyle w:val="Compact"/>
            </w:pPr>
            <w:r>
              <w:t xml:space="preserve">InfoBlox DNS Forwarders; SSP Documentation; Consistency class design</w:t>
            </w:r>
          </w:p>
        </w:tc>
        <w:tc>
          <w:tcPr/>
          <w:p>
            <w:pPr>
              <w:pStyle w:val="Compact"/>
            </w:pPr>
            <w:r>
              <w:t xml:space="preserve">SA-8, SA-9</w:t>
            </w:r>
          </w:p>
        </w:tc>
        <w:tc>
          <w:tcPr/>
          <w:p>
            <w:pPr>
              <w:pStyle w:val="Compact"/>
            </w:pPr>
            <w:r>
              <w:t xml:space="preserve">Vol I Books 01, 06 and Vol II Book 03</w:t>
            </w:r>
          </w:p>
        </w:tc>
      </w:tr>
      <w:tr>
        <w:tc>
          <w:tcPr/>
          <w:p>
            <w:pPr>
              <w:pStyle w:val="Compact"/>
            </w:pPr>
            <w:r>
              <w:rPr>
                <w:b/>
                <w:bCs/>
              </w:rPr>
              <w:t xml:space="preserve">SI</w:t>
            </w:r>
            <w:r>
              <w:t xml:space="preserve"> </w:t>
            </w:r>
            <w:r>
              <w:t xml:space="preserve">— System and Information Integrity</w:t>
            </w:r>
          </w:p>
        </w:tc>
        <w:tc>
          <w:tcPr/>
          <w:p>
            <w:pPr>
              <w:pStyle w:val="Compact"/>
            </w:pPr>
            <w:r>
              <w:t xml:space="preserve">InfoBlox RPZ + TIDE; SASE SWG; Entra ID OPM HRIT; NTLM monitoring</w:t>
            </w:r>
          </w:p>
        </w:tc>
        <w:tc>
          <w:tcPr/>
          <w:p>
            <w:pPr>
              <w:pStyle w:val="Compact"/>
            </w:pPr>
            <w:r>
              <w:t xml:space="preserve">SI-3, SI-4, SI-12</w:t>
            </w:r>
          </w:p>
        </w:tc>
        <w:tc>
          <w:tcPr/>
          <w:p>
            <w:pPr>
              <w:pStyle w:val="Compact"/>
            </w:pPr>
            <w:r>
              <w:t xml:space="preserve">Vol I Books 01, 05, 06 and Vol II Books 01–02</w:t>
            </w:r>
          </w:p>
        </w:tc>
      </w:tr>
      <w:tr>
        <w:tc>
          <w:tcPr/>
          <w:p>
            <w:pPr>
              <w:pStyle w:val="Compact"/>
            </w:pPr>
            <w:r>
              <w:rPr>
                <w:b/>
                <w:bCs/>
              </w:rPr>
              <w:t xml:space="preserve">PL</w:t>
            </w:r>
            <w:r>
              <w:t xml:space="preserve"> </w:t>
            </w:r>
            <w:r>
              <w:t xml:space="preserve">— Planning</w:t>
            </w:r>
          </w:p>
        </w:tc>
        <w:tc>
          <w:tcPr/>
          <w:p>
            <w:pPr>
              <w:pStyle w:val="Compact"/>
            </w:pPr>
            <w:r>
              <w:t xml:space="preserve">InfoBlox Inherited FedRAMP ATO</w:t>
            </w:r>
          </w:p>
        </w:tc>
        <w:tc>
          <w:tcPr/>
          <w:p>
            <w:pPr>
              <w:pStyle w:val="Compact"/>
            </w:pPr>
            <w:r>
              <w:t xml:space="preserve">PL-8</w:t>
            </w:r>
          </w:p>
        </w:tc>
        <w:tc>
          <w:tcPr/>
          <w:p>
            <w:pPr>
              <w:pStyle w:val="Compact"/>
            </w:pPr>
            <w:r>
              <w:t xml:space="preserve">Vol I Book 01</w:t>
            </w:r>
          </w:p>
        </w:tc>
      </w:tr>
    </w:tbl>
    <w:bookmarkEnd w:id="67"/>
    <w:bookmarkStart w:id="68" w:name="control-count-comparison"/>
    <w:p>
      <w:pPr>
        <w:pStyle w:val="Heading2"/>
      </w:pPr>
      <w:r>
        <w:t xml:space="preserve">Control Count Comparison</w:t>
      </w:r>
    </w:p>
    <w:p>
      <w:pPr>
        <w:pStyle w:val="TableCaption"/>
      </w:pPr>
      <w:r>
        <w:t xml:space="preserve">Control Closure Summary</w:t>
      </w:r>
    </w:p>
    <w:tbl>
      <w:tblPr>
        <w:tblStyle w:val="Table"/>
        <w:tblW w:type="pct" w:w="5000"/>
        <w:tblLayout w:type="fixed"/>
        <w:tblLook w:firstRow="1" w:lastRow="0" w:firstColumn="0" w:lastColumn="0" w:noHBand="0" w:noVBand="0" w:val="0020"/>
        <w:tblCaption w:val="Control Closure Summary"/>
      </w:tblPr>
      <w:tblGrid>
        <w:gridCol w:w="1584"/>
        <w:gridCol w:w="1584"/>
        <w:gridCol w:w="1584"/>
        <w:gridCol w:w="1584"/>
        <w:gridCol w:w="1584"/>
      </w:tblGrid>
      <w:tr>
        <w:trPr>
          <w:tblHeader w:val="on"/>
        </w:trPr>
        <w:tc>
          <w:tcPr/>
          <w:p>
            <w:pPr>
              <w:pStyle w:val="Compact"/>
            </w:pPr>
            <w:r>
              <w:t xml:space="preserve">Implementation Track</w:t>
            </w:r>
          </w:p>
        </w:tc>
        <w:tc>
          <w:tcPr/>
          <w:p>
            <w:pPr>
              <w:pStyle w:val="Compact"/>
            </w:pPr>
            <w:r>
              <w:t xml:space="preserve">Technology</w:t>
            </w:r>
          </w:p>
        </w:tc>
        <w:tc>
          <w:tcPr/>
          <w:p>
            <w:pPr>
              <w:pStyle w:val="Compact"/>
            </w:pPr>
            <w:r>
              <w:t xml:space="preserve">Controls Open (Current)</w:t>
            </w:r>
          </w:p>
        </w:tc>
        <w:tc>
          <w:tcPr/>
          <w:p>
            <w:pPr>
              <w:pStyle w:val="Compact"/>
            </w:pPr>
            <w:r>
              <w:t xml:space="preserve">Controls Closed (After)</w:t>
            </w:r>
          </w:p>
        </w:tc>
        <w:tc>
          <w:tcPr/>
          <w:p>
            <w:pPr>
              <w:pStyle w:val="Compact"/>
            </w:pPr>
            <w:r>
              <w:t xml:space="preserve">Net Reduction</w:t>
            </w:r>
          </w:p>
        </w:tc>
      </w:tr>
      <w:tr>
        <w:tc>
          <w:tcPr/>
          <w:p>
            <w:pPr>
              <w:pStyle w:val="Compact"/>
            </w:pPr>
            <w:r>
              <w:t xml:space="preserve">Vol I Book 01 — InfoBlox DDI Landing Zone</w:t>
            </w:r>
          </w:p>
        </w:tc>
        <w:tc>
          <w:tcPr/>
          <w:p>
            <w:pPr>
              <w:pStyle w:val="Compact"/>
            </w:pPr>
            <w:r>
              <w:t xml:space="preserve">InfoBlox DDI (DNSSEC, RPZ, IPAM, PKI, Syslog)</w:t>
            </w:r>
          </w:p>
        </w:tc>
        <w:tc>
          <w:tcPr/>
          <w:p>
            <w:pPr>
              <w:pStyle w:val="Compact"/>
            </w:pPr>
            <w:r>
              <w:t xml:space="preserve">18 open with manual/no evidence</w:t>
            </w:r>
          </w:p>
        </w:tc>
        <w:tc>
          <w:tcPr/>
          <w:p>
            <w:pPr>
              <w:pStyle w:val="Compact"/>
            </w:pPr>
            <w:r>
              <w:t xml:space="preserve">18 closed with automated evidence</w:t>
            </w:r>
          </w:p>
        </w:tc>
        <w:tc>
          <w:tcPr/>
          <w:p>
            <w:pPr>
              <w:pStyle w:val="Compact"/>
            </w:pPr>
            <w:r>
              <w:t xml:space="preserve">16 controls automated</w:t>
            </w:r>
          </w:p>
        </w:tc>
      </w:tr>
      <w:tr>
        <w:tc>
          <w:tcPr/>
          <w:p>
            <w:pPr>
              <w:pStyle w:val="Compact"/>
            </w:pPr>
            <w:r>
              <w:t xml:space="preserve">Vol I Book 06 — SD-WAN + SASE (Telecom)</w:t>
            </w:r>
          </w:p>
        </w:tc>
        <w:tc>
          <w:tcPr/>
          <w:p>
            <w:pPr>
              <w:pStyle w:val="Compact"/>
            </w:pPr>
            <w:r>
              <w:t xml:space="preserve">SD-WAN IPsec + SASE (SWG, CASB, FWaaS, ZTNA)</w:t>
            </w:r>
          </w:p>
        </w:tc>
        <w:tc>
          <w:tcPr/>
          <w:p>
            <w:pPr>
              <w:pStyle w:val="Compact"/>
            </w:pPr>
            <w:r>
              <w:t xml:space="preserve">7 open; DIA alone satisfies none</w:t>
            </w:r>
          </w:p>
        </w:tc>
        <w:tc>
          <w:tcPr/>
          <w:p>
            <w:pPr>
              <w:pStyle w:val="Compact"/>
            </w:pPr>
            <w:r>
              <w:t xml:space="preserve">7 closed by SASE stack</w:t>
            </w:r>
          </w:p>
        </w:tc>
        <w:tc>
          <w:tcPr/>
          <w:p>
            <w:pPr>
              <w:pStyle w:val="Compact"/>
            </w:pPr>
            <w:r>
              <w:t xml:space="preserve">7 controls automated</w:t>
            </w:r>
          </w:p>
        </w:tc>
      </w:tr>
      <w:tr>
        <w:tc>
          <w:tcPr/>
          <w:p>
            <w:pPr>
              <w:pStyle w:val="Compact"/>
            </w:pPr>
            <w:r>
              <w:t xml:space="preserve">Vol I Book 05 — Entra ID + ZTNA + Drift Reconciliation</w:t>
            </w:r>
          </w:p>
        </w:tc>
        <w:tc>
          <w:tcPr/>
          <w:p>
            <w:pPr>
              <w:pStyle w:val="Compact"/>
            </w:pPr>
            <w:r>
              <w:t xml:space="preserve">Entra ID, Intune MDM, ZTNA, Drift Reconciliation</w:t>
            </w:r>
          </w:p>
        </w:tc>
        <w:tc>
          <w:tcPr/>
          <w:p>
            <w:pPr>
              <w:pStyle w:val="Compact"/>
            </w:pPr>
            <w:r>
              <w:t xml:space="preserve">13 open or partially satisfied</w:t>
            </w:r>
          </w:p>
        </w:tc>
        <w:tc>
          <w:tcPr/>
          <w:p>
            <w:pPr>
              <w:pStyle w:val="Compact"/>
            </w:pPr>
            <w:r>
              <w:t xml:space="preserve">13 closed with machine-readable evidence</w:t>
            </w:r>
          </w:p>
        </w:tc>
        <w:tc>
          <w:tcPr/>
          <w:p>
            <w:pPr>
              <w:pStyle w:val="Compact"/>
            </w:pPr>
            <w:r>
              <w:t xml:space="preserve">12 controls automated</w:t>
            </w:r>
          </w:p>
        </w:tc>
      </w:tr>
      <w:tr>
        <w:tc>
          <w:tcPr/>
          <w:p>
            <w:pPr>
              <w:pStyle w:val="Compact"/>
            </w:pPr>
            <w:r>
              <w:t xml:space="preserve">Vol II Books 01–02 — SQL Server Authentication</w:t>
            </w:r>
          </w:p>
        </w:tc>
        <w:tc>
          <w:tcPr/>
          <w:p>
            <w:pPr>
              <w:pStyle w:val="Compact"/>
            </w:pPr>
            <w:r>
              <w:t xml:space="preserve">Azure Arc + Entra ID for SQL; NTLM elimination</w:t>
            </w:r>
          </w:p>
        </w:tc>
        <w:tc>
          <w:tcPr/>
          <w:p>
            <w:pPr>
              <w:pStyle w:val="Compact"/>
            </w:pPr>
            <w:r>
              <w:t xml:space="preserve">Authentication layer open across all SQL instances</w:t>
            </w:r>
          </w:p>
        </w:tc>
        <w:tc>
          <w:tcPr/>
          <w:p>
            <w:pPr>
              <w:pStyle w:val="Compact"/>
            </w:pPr>
            <w:r>
              <w:t xml:space="preserve">Controls deepened to database tier; continuous SQL compliance record</w:t>
            </w:r>
          </w:p>
        </w:tc>
        <w:tc>
          <w:tcPr/>
          <w:p>
            <w:pPr>
              <w:pStyle w:val="Compact"/>
            </w:pPr>
            <w:r>
              <w:t xml:space="preserve">SQL auth surface closed</w:t>
            </w:r>
          </w:p>
        </w:tc>
      </w:tr>
      <w:tr>
        <w:tc>
          <w:tcPr/>
          <w:p>
            <w:pPr>
              <w:pStyle w:val="Compact"/>
            </w:pPr>
            <w:r>
              <w:t xml:space="preserve">Vol II Book 03 — Database Architecture + Network Physics</w:t>
            </w:r>
          </w:p>
        </w:tc>
        <w:tc>
          <w:tcPr/>
          <w:p>
            <w:pPr>
              <w:pStyle w:val="Compact"/>
            </w:pPr>
            <w:r>
              <w:t xml:space="preserve">TDE; SD-WAN QoS; DR architecture; consistency alignment</w:t>
            </w:r>
          </w:p>
        </w:tc>
        <w:tc>
          <w:tcPr/>
          <w:p>
            <w:pPr>
              <w:pStyle w:val="Compact"/>
            </w:pPr>
            <w:r>
              <w:t xml:space="preserve">7 distinct controls open</w:t>
            </w:r>
          </w:p>
        </w:tc>
        <w:tc>
          <w:tcPr/>
          <w:p>
            <w:pPr>
              <w:pStyle w:val="Compact"/>
            </w:pPr>
            <w:r>
              <w:t xml:space="preserve">7 net new controls closed</w:t>
            </w:r>
          </w:p>
        </w:tc>
        <w:tc>
          <w:tcPr/>
          <w:p>
            <w:pPr>
              <w:pStyle w:val="Compact"/>
            </w:pPr>
            <w:r>
              <w:t xml:space="preserve">7 controls added to series</w:t>
            </w:r>
          </w:p>
        </w:tc>
      </w:tr>
      <w:tr>
        <w:tc>
          <w:tcPr/>
          <w:p>
            <w:pPr>
              <w:pStyle w:val="Compact"/>
            </w:pPr>
            <w:r>
              <w:rPr>
                <w:b/>
                <w:bCs/>
              </w:rPr>
              <w:t xml:space="preserve">Total</w:t>
            </w:r>
          </w:p>
        </w:tc>
        <w:tc>
          <w:tcPr/>
          <w:p>
            <w:pPr>
              <w:pStyle w:val="Compact"/>
            </w:pPr>
            <w:r>
              <w:rPr>
                <w:b/>
                <w:bCs/>
              </w:rPr>
              <w:t xml:space="preserve">InfoBlox + SD-WAN/SASE + Entra/ZTNA + Arc/SQL</w:t>
            </w:r>
          </w:p>
        </w:tc>
        <w:tc>
          <w:tcPr/>
          <w:p>
            <w:pPr>
              <w:pStyle w:val="Compact"/>
            </w:pPr>
            <w:r>
              <w:rPr>
                <w:b/>
                <w:bCs/>
              </w:rPr>
              <w:t xml:space="preserve">Substantial open / partially satisfied</w:t>
            </w:r>
          </w:p>
        </w:tc>
        <w:tc>
          <w:tcPr/>
          <w:p>
            <w:pPr>
              <w:pStyle w:val="Compact"/>
            </w:pPr>
            <w:r>
              <w:rPr>
                <w:b/>
                <w:bCs/>
              </w:rPr>
              <w:t xml:space="preserve">34 distinct controls closed</w:t>
            </w:r>
          </w:p>
        </w:tc>
        <w:tc>
          <w:tcPr/>
          <w:p>
            <w:pPr>
              <w:pStyle w:val="Compact"/>
            </w:pPr>
            <w:r>
              <w:rPr>
                <w:b/>
                <w:bCs/>
              </w:rPr>
              <w:t xml:space="preserve">34 controls with KSI-ready evidence</w:t>
            </w:r>
          </w:p>
        </w:tc>
      </w:tr>
    </w:tbl>
    <w:p>
      <w:pPr>
        <w:pStyle w:val="BlockText"/>
      </w:pPr>
      <w:r>
        <w:rPr>
          <w:b/>
          <w:bCs/>
        </w:rPr>
        <w:t xml:space="preserve">Why 34 distinct controls:</w:t>
      </w:r>
      <w:r>
        <w:t xml:space="preserve"> </w:t>
      </w:r>
      <w:r>
        <w:t xml:space="preserve">Several controls appear across multiple tracks (SC-7, SC-8, SC-20/21, AU-2/AU-12, CM-8, CA-7). Where multiple tracks address the same control at different layers (e.g., DNS-layer SC-7 in Vol I Book 01, network-layer SC-7 in Vol I Book 06, database-layer authentication in Vol II Books 01–02), both implementations contribute. The 34 count is of distinct control numbers — the total implementation coverage across all layers of each control is broader.</w:t>
      </w:r>
    </w:p>
    <w:bookmarkEnd w:id="68"/>
    <w:bookmarkStart w:id="69" w:name="what-closed-means-under-fedramp-20x"/>
    <w:p>
      <w:pPr>
        <w:pStyle w:val="Heading2"/>
      </w:pPr>
      <w:r>
        <w:t xml:space="preserve">What</w:t>
      </w:r>
      <w:r>
        <w:t xml:space="preserve"> </w:t>
      </w:r>
      <w:r>
        <w:t xml:space="preserve">“Closed”</w:t>
      </w:r>
      <w:r>
        <w:t xml:space="preserve"> </w:t>
      </w:r>
      <w:r>
        <w:t xml:space="preserve">Means Under FedRAMP 20x</w:t>
      </w:r>
    </w:p>
    <w:p>
      <w:pPr>
        <w:pStyle w:val="FirstParagraph"/>
      </w:pPr>
      <w:r>
        <w:t xml:space="preserve">FedRAMP 20x Consolidated Rules (June 25, 2026) replace periodic evidence assembly with</w:t>
      </w:r>
      <w:r>
        <w:t xml:space="preserve"> </w:t>
      </w:r>
      <w:r>
        <w:rPr>
          <w:b/>
          <w:bCs/>
        </w:rPr>
        <w:t xml:space="preserve">continuously-verified, machine-readable Key Security Indicators</w:t>
      </w:r>
      <w:r>
        <w:t xml:space="preserve">. A control is</w:t>
      </w:r>
      <w:r>
        <w:t xml:space="preserve"> </w:t>
      </w:r>
      <w:r>
        <w:t xml:space="preserve">“closed”</w:t>
      </w:r>
      <w:r>
        <w:t xml:space="preserve"> </w:t>
      </w:r>
      <w:r>
        <w:t xml:space="preserve">under FedRAMP 20x when:</w:t>
      </w:r>
    </w:p>
    <w:p>
      <w:pPr>
        <w:pStyle w:val="Compact"/>
        <w:numPr>
          <w:ilvl w:val="0"/>
          <w:numId w:val="1021"/>
        </w:numPr>
      </w:pPr>
      <w:r>
        <w:t xml:space="preserve">Evidence is generated</w:t>
      </w:r>
      <w:r>
        <w:t xml:space="preserve"> </w:t>
      </w:r>
      <w:r>
        <w:rPr>
          <w:b/>
          <w:bCs/>
        </w:rPr>
        <w:t xml:space="preserve">automatically</w:t>
      </w:r>
      <w:r>
        <w:t xml:space="preserve"> </w:t>
      </w:r>
      <w:r>
        <w:t xml:space="preserve">by infrastructure, not assembled manually by staff</w:t>
      </w:r>
    </w:p>
    <w:p>
      <w:pPr>
        <w:pStyle w:val="Compact"/>
        <w:numPr>
          <w:ilvl w:val="0"/>
          <w:numId w:val="1021"/>
        </w:numPr>
      </w:pPr>
      <w:r>
        <w:t xml:space="preserve">Evidence is in</w:t>
      </w:r>
      <w:r>
        <w:t xml:space="preserve"> </w:t>
      </w:r>
      <w:r>
        <w:rPr>
          <w:b/>
          <w:bCs/>
        </w:rPr>
        <w:t xml:space="preserve">machine-readable format</w:t>
      </w:r>
      <w:r>
        <w:t xml:space="preserve"> </w:t>
      </w:r>
      <w:r>
        <w:t xml:space="preserve">(structured JSON via API)</w:t>
      </w:r>
    </w:p>
    <w:p>
      <w:pPr>
        <w:pStyle w:val="Compact"/>
        <w:numPr>
          <w:ilvl w:val="0"/>
          <w:numId w:val="1021"/>
        </w:numPr>
      </w:pPr>
      <w:r>
        <w:t xml:space="preserve">Evidence is</w:t>
      </w:r>
      <w:r>
        <w:t xml:space="preserve"> </w:t>
      </w:r>
      <w:r>
        <w:rPr>
          <w:b/>
          <w:bCs/>
        </w:rPr>
        <w:t xml:space="preserve">continuously updated</w:t>
      </w:r>
      <w:r>
        <w:t xml:space="preserve"> </w:t>
      </w:r>
      <w:r>
        <w:t xml:space="preserve">— not point-in-time</w:t>
      </w:r>
    </w:p>
    <w:p>
      <w:pPr>
        <w:pStyle w:val="Compact"/>
        <w:numPr>
          <w:ilvl w:val="0"/>
          <w:numId w:val="1021"/>
        </w:numPr>
      </w:pPr>
      <w:r>
        <w:t xml:space="preserve">Evidence can be</w:t>
      </w:r>
      <w:r>
        <w:t xml:space="preserve"> </w:t>
      </w:r>
      <w:r>
        <w:rPr>
          <w:b/>
          <w:bCs/>
        </w:rPr>
        <w:t xml:space="preserve">validated programmatically</w:t>
      </w:r>
      <w:r>
        <w:t xml:space="preserve"> </w:t>
      </w:r>
      <w:r>
        <w:t xml:space="preserve">against the published KSI schema on GitHub</w:t>
      </w:r>
    </w:p>
    <w:p>
      <w:pPr>
        <w:pStyle w:val="FirstParagraph"/>
      </w:pPr>
      <w:r>
        <w:t xml:space="preserve">All six implementation tracks produce machine-readable evidence natively:</w:t>
      </w:r>
    </w:p>
    <w:p>
      <w:pPr>
        <w:pStyle w:val="Compact"/>
        <w:numPr>
          <w:ilvl w:val="0"/>
          <w:numId w:val="1022"/>
        </w:numPr>
      </w:pPr>
      <w:r>
        <w:rPr>
          <w:b/>
          <w:bCs/>
        </w:rPr>
        <w:t xml:space="preserve">InfoBlox WAPI</w:t>
      </w:r>
      <w:r>
        <w:t xml:space="preserve"> </w:t>
      </w:r>
      <w:r>
        <w:t xml:space="preserve">exports all DDI evidence as structured JSON</w:t>
      </w:r>
    </w:p>
    <w:p>
      <w:pPr>
        <w:pStyle w:val="Compact"/>
        <w:numPr>
          <w:ilvl w:val="0"/>
          <w:numId w:val="1022"/>
        </w:numPr>
      </w:pPr>
      <w:r>
        <w:rPr>
          <w:b/>
          <w:bCs/>
        </w:rPr>
        <w:t xml:space="preserve">SASE stack</w:t>
      </w:r>
      <w:r>
        <w:t xml:space="preserve"> </w:t>
      </w:r>
      <w:r>
        <w:t xml:space="preserve">exports per-session telemetry in structured log format</w:t>
      </w:r>
    </w:p>
    <w:p>
      <w:pPr>
        <w:pStyle w:val="Compact"/>
        <w:numPr>
          <w:ilvl w:val="0"/>
          <w:numId w:val="1022"/>
        </w:numPr>
      </w:pPr>
      <w:r>
        <w:rPr>
          <w:b/>
          <w:bCs/>
        </w:rPr>
        <w:t xml:space="preserve">drift-reconciliation control plane</w:t>
      </w:r>
      <w:r>
        <w:t xml:space="preserve"> </w:t>
      </w:r>
      <w:r>
        <w:t xml:space="preserve">generates desired-vs-actual JSON records as its primary output</w:t>
      </w:r>
    </w:p>
    <w:p>
      <w:pPr>
        <w:pStyle w:val="Compact"/>
        <w:numPr>
          <w:ilvl w:val="0"/>
          <w:numId w:val="1022"/>
        </w:numPr>
      </w:pPr>
      <w:r>
        <w:rPr>
          <w:b/>
          <w:bCs/>
        </w:rPr>
        <w:t xml:space="preserve">SQL continuous monitoring record</w:t>
      </w:r>
      <w:r>
        <w:t xml:space="preserve"> </w:t>
      </w:r>
      <w:r>
        <w:t xml:space="preserve">exports login type, NTLM event count, and Managed Identity coverage as daily structured JSON</w:t>
      </w:r>
    </w:p>
    <w:p>
      <w:pPr>
        <w:pStyle w:val="Compact"/>
        <w:numPr>
          <w:ilvl w:val="0"/>
          <w:numId w:val="1022"/>
        </w:numPr>
      </w:pPr>
      <w:r>
        <w:rPr>
          <w:b/>
          <w:bCs/>
        </w:rPr>
        <w:t xml:space="preserve">DR and backup records</w:t>
      </w:r>
      <w:r>
        <w:t xml:space="preserve"> </w:t>
      </w:r>
      <w:r>
        <w:t xml:space="preserve">export RTO, RPO, and test result timestamps as structured audit records</w:t>
      </w:r>
    </w:p>
    <w:p>
      <w:pPr>
        <w:pStyle w:val="FirstParagraph"/>
      </w:pPr>
      <w:r>
        <w:t xml:space="preserve">The architectural transition described in all six documents</w:t>
      </w:r>
      <w:r>
        <w:t xml:space="preserve"> </w:t>
      </w:r>
      <w:r>
        <w:rPr>
          <w:b/>
          <w:bCs/>
        </w:rPr>
        <w:t xml:space="preserve">IS the FedRAMP 20x compliance posture</w:t>
      </w:r>
      <w:r>
        <w:t xml:space="preserve"> </w:t>
      </w:r>
      <w:r>
        <w:t xml:space="preserve">— not a compliance project layered on top of operations.</w:t>
      </w:r>
    </w:p>
    <w:p>
      <w:r>
        <w:pict>
          <v:rect style="width:0;height:1.5pt" o:hralign="center" o:hrstd="t" o:hr="t"/>
        </w:pict>
      </w:r>
    </w:p>
    <w:bookmarkEnd w:id="69"/>
    <w:bookmarkEnd w:id="70"/>
    <w:bookmarkStart w:id="76" w:name="Xca97fc29bea82f699c0a68466e74787113ecddb"/>
    <w:p>
      <w:pPr>
        <w:pStyle w:val="Heading1"/>
      </w:pPr>
      <w:r>
        <w:t xml:space="preserve">Previously Identified Gaps — Now Closed by Vol IV Books 02–04</w:t>
      </w:r>
    </w:p>
    <w:p>
      <w:pPr>
        <w:pStyle w:val="FirstParagraph"/>
      </w:pPr>
      <w:r>
        <w:t xml:space="preserve">Three NIST SP 800-53 control families required additional artifacts beyond</w:t>
      </w:r>
      <w:r>
        <w:t xml:space="preserve"> </w:t>
      </w:r>
      <w:r>
        <w:t xml:space="preserve">network and security architecture documents. Vol IV Books 02–04 were authored to close</w:t>
      </w:r>
      <w:r>
        <w:t xml:space="preserve"> </w:t>
      </w:r>
      <w:r>
        <w:t xml:space="preserve">these gaps; the series is now complete across all identified control families.</w:t>
      </w:r>
    </w:p>
    <w:bookmarkStart w:id="71" w:name="X33d74dfbb3929fa954c15bd57abf41701b4557d"/>
    <w:p>
      <w:pPr>
        <w:pStyle w:val="Heading2"/>
      </w:pPr>
      <w:r>
        <w:t xml:space="preserve">SR — Supply Chain Risk Management (EO 14028 §4 / SR-family)</w:t>
      </w:r>
    </w:p>
    <w:p>
      <w:pPr>
        <w:pStyle w:val="FirstParagraph"/>
      </w:pPr>
      <w:r>
        <w:t xml:space="preserve">The SBOM and exploitability (VEX) pipeline is anchored to EO 14028 §4, OMB</w:t>
      </w:r>
      <w:r>
        <w:t xml:space="preserve"> </w:t>
      </w:r>
      <w:r>
        <w:t xml:space="preserve">M-22-18 / M-23-16 attestation guidance, the SR control family, and NIST SP</w:t>
      </w:r>
      <w:r>
        <w:t xml:space="preserve"> </w:t>
      </w:r>
      <w:r>
        <w:t xml:space="preserve">800-161 —</w:t>
      </w:r>
      <w:r>
        <w:t xml:space="preserve"> </w:t>
      </w:r>
      <w:r>
        <w:rPr>
          <w:b/>
          <w:bCs/>
        </w:rPr>
        <w:t xml:space="preserve">not</w:t>
      </w:r>
      <w:r>
        <w:t xml:space="preserve"> </w:t>
      </w:r>
      <w:r>
        <w:t xml:space="preserve">to BOD 26-04, which is a risk-tiered</w:t>
      </w:r>
      <w:r>
        <w:t xml:space="preserve"> </w:t>
      </w:r>
      <w:r>
        <w:rPr>
          <w:i/>
          <w:iCs/>
        </w:rPr>
        <w:t xml:space="preserve">remediation</w:t>
      </w:r>
      <w:r>
        <w:t xml:space="preserve"> </w:t>
      </w:r>
      <w:r>
        <w:t xml:space="preserve">directive</w:t>
      </w:r>
      <w:r>
        <w:t xml:space="preserve"> </w:t>
      </w:r>
      <w:r>
        <w:t xml:space="preserve">and does not mandate supply-chain artifacts. What activates</w:t>
      </w:r>
      <w:r>
        <w:t xml:space="preserve"> </w:t>
      </w:r>
      <w:r>
        <w:rPr>
          <w:b/>
          <w:bCs/>
        </w:rPr>
        <w:t xml:space="preserve">December 7, 2026</w:t>
      </w:r>
      <w:r>
        <w:t xml:space="preserve"> </w:t>
      </w:r>
      <w:r>
        <w:t xml:space="preserve">is FedRAMP’s Vulnerability Detection &amp; Response (VDR) and Vulnerability</w:t>
      </w:r>
      <w:r>
        <w:t xml:space="preserve"> </w:t>
      </w:r>
      <w:r>
        <w:t xml:space="preserve">Evaluation &amp; Reporting (VER) rule set (NTC-0014), aligned to the same date</w:t>
      </w:r>
      <w:r>
        <w:t xml:space="preserve"> </w:t>
      </w:r>
      <w:r>
        <w:t xml:space="preserve">BOD 26-04’s remediation timelines take effect; the pipeline’s blocking-gate SLAs</w:t>
      </w:r>
      <w:r>
        <w:t xml:space="preserve"> </w:t>
      </w:r>
      <w:r>
        <w:t xml:space="preserve">follow that remediation model. KSI-015 and KSI-016 (KSI-SCR — Supply Chain Risk</w:t>
      </w:r>
      <w:r>
        <w:t xml:space="preserve"> </w:t>
      </w:r>
      <w:r>
        <w:t xml:space="preserve">Mitigation and Monitoring) are now evaluable through Vol IV Book 02; the same</w:t>
      </w:r>
      <w:r>
        <w:t xml:space="preserve"> </w:t>
      </w:r>
      <w:r>
        <w:t xml:space="preserve">pipeline additionally supplies the KSI-CMT change-management evidence for</w:t>
      </w:r>
      <w:r>
        <w:t xml:space="preserve"> </w:t>
      </w:r>
      <w:r>
        <w:t xml:space="preserve">KSI-011 through KSI-014.</w:t>
      </w:r>
    </w:p>
    <w:p>
      <w:pPr>
        <w:pStyle w:val="BodyText"/>
      </w:pPr>
      <w:r>
        <w:rPr>
          <w:b/>
          <w:bCs/>
        </w:rPr>
        <w:t xml:space="preserve">Controls closed:</w:t>
      </w:r>
      <w:r>
        <w:t xml:space="preserve"> </w:t>
      </w:r>
      <w:r>
        <w:t xml:space="preserve">SR-1, SR-2, SR-3, SR-5, SR-6, SR-8, SR-10, SR-11</w:t>
      </w:r>
    </w:p>
    <w:p>
      <w:pPr>
        <w:pStyle w:val="BodyText"/>
      </w:pPr>
      <w:r>
        <w:rPr>
          <w:b/>
          <w:bCs/>
        </w:rPr>
        <w:t xml:space="preserve">Vol IV Book 02 — Supply Chain Risk Management</w:t>
      </w:r>
      <w:r>
        <w:t xml:space="preserve"> </w:t>
      </w:r>
      <w:r>
        <w:t xml:space="preserve">delivers: a Syft CycloneDX SBOM</w:t>
      </w:r>
      <w:r>
        <w:t xml:space="preserve"> </w:t>
      </w:r>
      <w:r>
        <w:t xml:space="preserve">generation pipeline (EO 14028 §4 / SR-3, SR-4), Grype continuous vulnerability</w:t>
      </w:r>
      <w:r>
        <w:t xml:space="preserve"> </w:t>
      </w:r>
      <w:r>
        <w:t xml:space="preserve">scanning with OpenVEX exploitability assertions, a GitHub Actions blocking gate</w:t>
      </w:r>
      <w:r>
        <w:t xml:space="preserve"> </w:t>
      </w:r>
      <w:r>
        <w:t xml:space="preserve">whose remediation SLAs follow the BOD 26-04 four-variable risk model, and a</w:t>
      </w:r>
      <w:r>
        <w:t xml:space="preserve"> </w:t>
      </w:r>
      <w:r>
        <w:t xml:space="preserve">vendor disclosure matrix. KSI-SCR-MIT and KSI-SCR-MON activated at high confidence.</w:t>
      </w:r>
    </w:p>
    <w:bookmarkEnd w:id="71"/>
    <w:bookmarkStart w:id="72" w:name="pm-program-management"/>
    <w:p>
      <w:pPr>
        <w:pStyle w:val="Heading2"/>
      </w:pPr>
      <w:r>
        <w:t xml:space="preserve">PM — Program Management</w:t>
      </w:r>
    </w:p>
    <w:p>
      <w:pPr>
        <w:pStyle w:val="FirstParagraph"/>
      </w:pPr>
      <w:r>
        <w:t xml:space="preserve">PM controls require organizational governance artifacts — security program plan,</w:t>
      </w:r>
      <w:r>
        <w:t xml:space="preserve"> </w:t>
      </w:r>
      <w:r>
        <w:t xml:space="preserve">POA&amp;M process, authorization boundary documentation, and metrics reporting.</w:t>
      </w:r>
    </w:p>
    <w:p>
      <w:pPr>
        <w:pStyle w:val="BodyText"/>
      </w:pPr>
      <w:r>
        <w:rPr>
          <w:b/>
          <w:bCs/>
        </w:rPr>
        <w:t xml:space="preserve">Controls closed:</w:t>
      </w:r>
      <w:r>
        <w:t xml:space="preserve"> </w:t>
      </w:r>
      <w:r>
        <w:t xml:space="preserve">PM-1, PM-2, PM-5, PM-7, PM-9, PM-11, PM-14, PM-15, PM-30</w:t>
      </w:r>
    </w:p>
    <w:p>
      <w:pPr>
        <w:pStyle w:val="BodyText"/>
      </w:pPr>
      <w:r>
        <w:rPr>
          <w:b/>
          <w:bCs/>
        </w:rPr>
        <w:t xml:space="preserve">Vol IV Book 03 — Program Management and Governance</w:t>
      </w:r>
      <w:r>
        <w:t xml:space="preserve"> </w:t>
      </w:r>
      <w:r>
        <w:t xml:space="preserve">delivers: ISPP template,</w:t>
      </w:r>
      <w:r>
        <w:t xml:space="preserve"> </w:t>
      </w:r>
      <w:r>
        <w:t xml:space="preserve">POA&amp;M tracker, SCRM Charter, Leadership RACI matrix, risk register, and</w:t>
      </w:r>
      <w:r>
        <w:t xml:space="preserve"> </w:t>
      </w:r>
      <w:r>
        <w:t xml:space="preserve">T&amp;T&amp;M plan. KSI-SCR governance closure at high confidence.</w:t>
      </w:r>
    </w:p>
    <w:bookmarkEnd w:id="72"/>
    <w:bookmarkStart w:id="73" w:name="pt-pii-processing-and-transparency"/>
    <w:p>
      <w:pPr>
        <w:pStyle w:val="Heading2"/>
      </w:pPr>
      <w:r>
        <w:t xml:space="preserve">PT — PII Processing and Transparency</w:t>
      </w:r>
    </w:p>
    <w:p>
      <w:pPr>
        <w:pStyle w:val="FirstParagraph"/>
      </w:pPr>
      <w:r>
        <w:t xml:space="preserve">PT controls are required for any system processing PII — including</w:t>
      </w:r>
      <w:r>
        <w:t xml:space="preserve"> </w:t>
      </w:r>
      <w:r>
        <w:t xml:space="preserve">citizen-facing portals and HR/workforce systems in the GCC Moderate context.</w:t>
      </w:r>
    </w:p>
    <w:p>
      <w:pPr>
        <w:pStyle w:val="BodyText"/>
      </w:pPr>
      <w:r>
        <w:rPr>
          <w:b/>
          <w:bCs/>
        </w:rPr>
        <w:t xml:space="preserve">Controls closed:</w:t>
      </w:r>
      <w:r>
        <w:t xml:space="preserve"> </w:t>
      </w:r>
      <w:r>
        <w:t xml:space="preserve">PT-1, PT-2, PT-3, PT-4, PT-5, PT-7</w:t>
      </w:r>
    </w:p>
    <w:p>
      <w:pPr>
        <w:pStyle w:val="BodyText"/>
      </w:pPr>
      <w:r>
        <w:rPr>
          <w:b/>
          <w:bCs/>
        </w:rPr>
        <w:t xml:space="preserve">Vol IV Book 04 — PII Processing and Transparency</w:t>
      </w:r>
      <w:r>
        <w:t xml:space="preserve"> </w:t>
      </w:r>
      <w:r>
        <w:t xml:space="preserve">delivers: Privacy Program Plan,</w:t>
      </w:r>
      <w:r>
        <w:t xml:space="preserve"> </w:t>
      </w:r>
      <w:r>
        <w:t xml:space="preserve">authority-to-process templates, SORN/PIA scaffolding, and Purview Data Map</w:t>
      </w:r>
      <w:r>
        <w:t xml:space="preserve"> </w:t>
      </w:r>
      <w:r>
        <w:t xml:space="preserve">enforcement integration with Vol III Book 05 sensitivity labels. KSI-PIY-RSD activated</w:t>
      </w:r>
      <w:r>
        <w:t xml:space="preserve"> </w:t>
      </w:r>
      <w:r>
        <w:t xml:space="preserve">at high confidence.</w:t>
      </w:r>
    </w:p>
    <w:bookmarkEnd w:id="73"/>
    <w:bookmarkStart w:id="74" w:name="X461ed25ed3923a3d8b55e0e3965ec2f4255b061"/>
    <w:p>
      <w:pPr>
        <w:pStyle w:val="Heading2"/>
      </w:pPr>
      <w:r>
        <w:t xml:space="preserve">AT — Cybersecurity Awareness and Training (KSI-022 Gate)</w:t>
      </w:r>
    </w:p>
    <w:p>
      <w:pPr>
        <w:pStyle w:val="FirstParagraph"/>
      </w:pPr>
      <w:r>
        <w:t xml:space="preserve">The FedRAMP 20x KSI-CED-RAT (</w:t>
      </w:r>
      <w:r>
        <w:t xml:space="preserve">“Reviewing All Training”</w:t>
      </w:r>
      <w:r>
        <w:t xml:space="preserve">) requirement mandates</w:t>
      </w:r>
      <w:r>
        <w:t xml:space="preserve"> </w:t>
      </w:r>
      <w:r>
        <w:t xml:space="preserve">persistent, machine-readable evidence that cybersecurity training is reviewed</w:t>
      </w:r>
      <w:r>
        <w:t xml:space="preserve"> </w:t>
      </w:r>
      <w:r>
        <w:t xml:space="preserve">across all four dimensions. KSI-022 was the only remaining scaffold KSI across</w:t>
      </w:r>
      <w:r>
        <w:t xml:space="preserve"> </w:t>
      </w:r>
      <w:r>
        <w:t xml:space="preserve">all 29 internal KSI-decomposition rules.</w:t>
      </w:r>
    </w:p>
    <w:p>
      <w:pPr>
        <w:pStyle w:val="BodyText"/>
      </w:pPr>
      <w:r>
        <w:rPr>
          <w:b/>
          <w:bCs/>
        </w:rPr>
        <w:t xml:space="preserve">Controls closed:</w:t>
      </w:r>
      <w:r>
        <w:t xml:space="preserve"> </w:t>
      </w:r>
      <w:r>
        <w:t xml:space="preserve">AT-2, AT-2(1), AT-2(2), AT-3, AT-3(3), AT-3(5), AT-4, CP-3, IR-2</w:t>
      </w:r>
    </w:p>
    <w:p>
      <w:pPr>
        <w:pStyle w:val="BodyText"/>
      </w:pPr>
      <w:r>
        <w:rPr>
          <w:b/>
          <w:bCs/>
        </w:rPr>
        <w:t xml:space="preserve">Vol IV Book 05 — Cybersecurity Awareness and Training</w:t>
      </w:r>
      <w:r>
        <w:t xml:space="preserve"> </w:t>
      </w:r>
      <w:r>
        <w:t xml:space="preserve">delivers: role-based training</w:t>
      </w:r>
      <w:r>
        <w:t xml:space="preserve"> </w:t>
      </w:r>
      <w:r>
        <w:t xml:space="preserve">matrices for six high-risk tiers (sysadmins, privileged access users, developers,</w:t>
      </w:r>
      <w:r>
        <w:t xml:space="preserve"> </w:t>
      </w:r>
      <w:r>
        <w:t xml:space="preserve">IR responders, data stewards, executives), LMS integration with machine-readable</w:t>
      </w:r>
      <w:r>
        <w:t xml:space="preserve"> </w:t>
      </w:r>
      <w:r>
        <w:rPr>
          <w:rStyle w:val="VerbatimChar"/>
        </w:rPr>
        <w:t xml:space="preserve">governance.training-effectiveness-record</w:t>
      </w:r>
      <w:r>
        <w:t xml:space="preserve"> </w:t>
      </w:r>
      <w:r>
        <w:t xml:space="preserve">JSON schema, Viva Learning Graph API</w:t>
      </w:r>
      <w:r>
        <w:t xml:space="preserve"> </w:t>
      </w:r>
      <w:r>
        <w:t xml:space="preserve">export for AT-4 retention records, CP-3 tabletop exercise calendar, and IR-2 drill</w:t>
      </w:r>
      <w:r>
        <w:t xml:space="preserve"> </w:t>
      </w:r>
      <w:r>
        <w:t xml:space="preserve">documentation templates. KSI-022 (KSI-CED-RAT) activated at high confidence.</w:t>
      </w:r>
      <w:r>
        <w:t xml:space="preserve"> </w:t>
      </w:r>
      <w:r>
        <w:t xml:space="preserve">All 29 internal KSI-decomposition rules are now evaluable.</w:t>
      </w:r>
    </w:p>
    <w:bookmarkEnd w:id="74"/>
    <w:bookmarkStart w:id="75" w:name="priority-4-cr26-breadth-gaps-resolved"/>
    <w:p>
      <w:pPr>
        <w:pStyle w:val="Heading2"/>
      </w:pPr>
      <w:r>
        <w:t xml:space="preserve">Priority 4: CR26 Breadth Gaps — Resolved</w:t>
      </w:r>
    </w:p>
    <w:p>
      <w:pPr>
        <w:pStyle w:val="FirstParagraph"/>
      </w:pPr>
      <w:r>
        <w:t xml:space="preserve">FedRAMP 20x Consolidated Rules cover all 29 internal KSI-decomposition rules. Five themes that</w:t>
      </w:r>
      <w:r>
        <w:t xml:space="preserve"> </w:t>
      </w:r>
      <w:r>
        <w:t xml:space="preserve">previously had zero evaluable rules — CED, INR, RPL, SCR, PIY — are now</w:t>
      </w:r>
      <w:r>
        <w:t xml:space="preserve"> </w:t>
      </w:r>
      <w:r>
        <w:t xml:space="preserve">addressed: SCR and PIY by Vol IV Books 02–04, CED by Vol IV Book 05. INR (Incident</w:t>
      </w:r>
      <w:r>
        <w:t xml:space="preserve"> </w:t>
      </w:r>
      <w:r>
        <w:t xml:space="preserve">Notification and Response) and RPL (Replication and Continuity) are served</w:t>
      </w:r>
      <w:r>
        <w:t xml:space="preserve"> </w:t>
      </w:r>
      <w:r>
        <w:t xml:space="preserve">by Vol III Book 06 and Vol IV Book 01 through Sentinel/XDR playbooks and the Business Continuity</w:t>
      </w:r>
      <w:r>
        <w:t xml:space="preserve"> </w:t>
      </w:r>
      <w:r>
        <w:t xml:space="preserve">DR architecture. All scaffold KSIs have been activated.</w:t>
      </w:r>
    </w:p>
    <w:p>
      <w:r>
        <w:pict>
          <v:rect style="width:0;height:1.5pt" o:hralign="center" o:hrstd="t" o:hr="t"/>
        </w:pict>
      </w:r>
    </w:p>
    <w:bookmarkEnd w:id="75"/>
    <w:bookmarkEnd w:id="76"/>
    <w:bookmarkStart w:id="77" w:name="Xe8a0cfc3dacfc499165fbb6b52941ca764a0109"/>
    <w:p>
      <w:pPr>
        <w:pStyle w:val="Heading1"/>
      </w:pPr>
      <w:r>
        <w:t xml:space="preserve">Conformance Adapter and OSCAL Emitter Framework</w:t>
      </w:r>
    </w:p>
    <w:p>
      <w:pPr>
        <w:pStyle w:val="FirstParagraph"/>
      </w:pPr>
      <w:r>
        <w:t xml:space="preserve">The twenty-three-book series generates evidence. The</w:t>
      </w:r>
      <w:r>
        <w:t xml:space="preserve"> </w:t>
      </w:r>
      <w:r>
        <w:rPr>
          <w:b/>
          <w:bCs/>
        </w:rPr>
        <w:t xml:space="preserve">Conformance Adapter</w:t>
      </w:r>
      <w:r>
        <w:t xml:space="preserve"> </w:t>
      </w:r>
      <w:r>
        <w:t xml:space="preserve">is the</w:t>
      </w:r>
      <w:r>
        <w:t xml:space="preserve"> </w:t>
      </w:r>
      <w:r>
        <w:t xml:space="preserve">governance layer that maps evidence → control → KSI and produces the OSCAL</w:t>
      </w:r>
      <w:r>
        <w:t xml:space="preserve"> </w:t>
      </w:r>
      <w:r>
        <w:t xml:space="preserve">AP/AR/POAM artifact bundle that FedRAMP 20x evaluators ingest.</w:t>
      </w:r>
    </w:p>
    <w:p>
      <w:pPr>
        <w:pStyle w:val="BodyText"/>
      </w:pPr>
      <w:r>
        <w:rPr>
          <w:b/>
          <w:bCs/>
        </w:rPr>
        <w:t xml:space="preserve">Current state.</w:t>
      </w:r>
      <w:r>
        <w:t xml:space="preserve"> </w:t>
      </w:r>
      <w:r>
        <w:t xml:space="preserve">The tooling is authored and the bundle emits; every KSI</w:t>
      </w:r>
      <w:r>
        <w:t xml:space="preserve"> </w:t>
      </w:r>
      <w:r>
        <w:t xml:space="preserve">verdict below is</w:t>
      </w:r>
      <w:r>
        <w:t xml:space="preserve"> </w:t>
      </w:r>
      <w:r>
        <w:rPr>
          <w:b/>
          <w:bCs/>
        </w:rPr>
        <w:t xml:space="preserve">self-assessed against the series’ internal KSI decomposition, not yet</w:t>
      </w:r>
      <w:r>
        <w:rPr>
          <w:b/>
          <w:bCs/>
        </w:rPr>
        <w:t xml:space="preserve"> </w:t>
      </w:r>
      <w:r>
        <w:rPr>
          <w:b/>
          <w:bCs/>
        </w:rPr>
        <w:t xml:space="preserve">mapped to the finalized CR26 Moderate indicator catalog, and pending independent</w:t>
      </w:r>
      <w:r>
        <w:rPr>
          <w:b/>
          <w:bCs/>
        </w:rPr>
        <w:t xml:space="preserve"> </w:t>
      </w:r>
      <w:r>
        <w:rPr>
          <w:b/>
          <w:bCs/>
        </w:rPr>
        <w:t xml:space="preserve">SCA and implementation</w:t>
      </w:r>
      <w:r>
        <w:t xml:space="preserve"> </w:t>
      </w:r>
      <w:r>
        <w:t xml:space="preserve">(see the KSI-count reconciliation open item above). The</w:t>
      </w:r>
      <w:r>
        <w:t xml:space="preserve"> </w:t>
      </w:r>
      <w:r>
        <w:t xml:space="preserve">Maturity column states the highest state actually reached, never more:</w:t>
      </w:r>
    </w:p>
    <w:p>
      <w:pPr>
        <w:pStyle w:val="BlockText"/>
      </w:pPr>
      <w:r>
        <w:rPr>
          <w:b/>
          <w:bCs/>
        </w:rPr>
        <w:t xml:space="preserve">Maturity legend.</w:t>
      </w:r>
      <w:r>
        <w:t xml:space="preserve"> </w:t>
      </w:r>
      <w:r>
        <w:rPr>
          <w:b/>
          <w:bCs/>
        </w:rPr>
        <w:t xml:space="preserve">Authored</w:t>
      </w:r>
      <w:r>
        <w:t xml:space="preserve"> </w:t>
      </w:r>
      <w:r>
        <w:t xml:space="preserve">= the deliverable documents/tooling exist ·</w:t>
      </w:r>
      <w:r>
        <w:t xml:space="preserve"> </w:t>
      </w:r>
      <w:r>
        <w:rPr>
          <w:b/>
          <w:bCs/>
        </w:rPr>
        <w:t xml:space="preserve">Ref-impl</w:t>
      </w:r>
      <w:r>
        <w:t xml:space="preserve"> </w:t>
      </w:r>
      <w:r>
        <w:t xml:space="preserve">= a reference implementation runs and emits the artifact ·</w:t>
      </w:r>
      <w:r>
        <w:t xml:space="preserve"> </w:t>
      </w:r>
      <w:r>
        <w:rPr>
          <w:b/>
          <w:bCs/>
        </w:rPr>
        <w:t xml:space="preserve">Deployed</w:t>
      </w:r>
      <w:r>
        <w:t xml:space="preserve"> </w:t>
      </w:r>
      <w:r>
        <w:t xml:space="preserve">= running against the Agency estate ·</w:t>
      </w:r>
      <w:r>
        <w:t xml:space="preserve"> </w:t>
      </w:r>
      <w:r>
        <w:rPr>
          <w:b/>
          <w:bCs/>
        </w:rPr>
        <w:t xml:space="preserve">Assessed</w:t>
      </w:r>
      <w:r>
        <w:t xml:space="preserve"> </w:t>
      </w:r>
      <w:r>
        <w:t xml:space="preserve">= independently</w:t>
      </w:r>
      <w:r>
        <w:t xml:space="preserve"> </w:t>
      </w:r>
      <w:r>
        <w:t xml:space="preserve">validated by a 3PAO/SCA. No cell below claims past</w:t>
      </w:r>
      <w:r>
        <w:t xml:space="preserve"> </w:t>
      </w:r>
      <w:r>
        <w:rPr>
          <w:b/>
          <w:bCs/>
        </w:rPr>
        <w:t xml:space="preserve">Ref-impl</w:t>
      </w:r>
      <w:r>
        <w:t xml:space="preserve">.</w:t>
      </w:r>
    </w:p>
    <w:tbl>
      <w:tblPr>
        <w:tblStyle w:val="Table"/>
        <w:tblW w:type="pct" w:w="5000"/>
        <w:tblLayout w:type="fixed"/>
        <w:tblLook w:firstRow="1" w:lastRow="0" w:firstColumn="0" w:lastColumn="0" w:noHBand="0" w:noVBand="0" w:val="0020"/>
      </w:tblPr>
      <w:tblGrid>
        <w:gridCol w:w="3226"/>
        <w:gridCol w:w="2933"/>
        <w:gridCol w:w="1760"/>
      </w:tblGrid>
      <w:tr>
        <w:trPr>
          <w:tblHeader w:val="on"/>
        </w:trPr>
        <w:tc>
          <w:tcPr/>
          <w:p>
            <w:pPr>
              <w:pStyle w:val="Compact"/>
            </w:pPr>
            <w:r>
              <w:t xml:space="preserve">Component</w:t>
            </w:r>
          </w:p>
        </w:tc>
        <w:tc>
          <w:tcPr/>
          <w:p>
            <w:pPr>
              <w:pStyle w:val="Compact"/>
            </w:pPr>
            <w:r>
              <w:t xml:space="preserve">Maturity</w:t>
            </w:r>
          </w:p>
        </w:tc>
        <w:tc>
          <w:tcPr/>
          <w:p>
            <w:pPr>
              <w:pStyle w:val="Compact"/>
            </w:pPr>
            <w:r>
              <w:t xml:space="preserve">Self-assessed result (internal rule set — pending CR26 + SCA)</w:t>
            </w:r>
          </w:p>
        </w:tc>
      </w:tr>
      <w:tr>
        <w:tc>
          <w:tcPr/>
          <w:p>
            <w:pPr>
              <w:pStyle w:val="Compact"/>
            </w:pPr>
            <w:r>
              <w:t xml:space="preserve">Conformance Adapter schema</w:t>
            </w:r>
          </w:p>
        </w:tc>
        <w:tc>
          <w:tcPr/>
          <w:p>
            <w:pPr>
              <w:pStyle w:val="Compact"/>
            </w:pPr>
            <w:r>
              <w:t xml:space="preserve">Authored</w:t>
            </w:r>
          </w:p>
        </w:tc>
        <w:tc>
          <w:tcPr/>
          <w:p>
            <w:pPr>
              <w:pStyle w:val="Compact"/>
            </w:pPr>
            <w:r>
              <w:t xml:space="preserve">29/29 of the series’ internal KSI decomposition mapped (not the 46 CR26 indicators)</w:t>
            </w:r>
          </w:p>
        </w:tc>
      </w:tr>
      <w:tr>
        <w:tc>
          <w:tcPr/>
          <w:p>
            <w:pPr>
              <w:pStyle w:val="Compact"/>
            </w:pPr>
            <w:r>
              <w:t xml:space="preserve">Surface slots 1–8 (all slots)</w:t>
            </w:r>
          </w:p>
        </w:tc>
        <w:tc>
          <w:tcPr/>
          <w:p>
            <w:pPr>
              <w:pStyle w:val="Compact"/>
            </w:pPr>
            <w:r>
              <w:t xml:space="preserve">Ref-impl</w:t>
            </w:r>
          </w:p>
        </w:tc>
        <w:tc>
          <w:tcPr/>
          <w:p>
            <w:pPr>
              <w:pStyle w:val="Compact"/>
            </w:pPr>
            <w:r>
              <w:t xml:space="preserve">Bound to Compliance evidence; slot-08 training activated by Vol IV Book 05</w:t>
            </w:r>
          </w:p>
        </w:tc>
      </w:tr>
      <w:tr>
        <w:tc>
          <w:tcPr/>
          <w:p>
            <w:pPr>
              <w:pStyle w:val="Compact"/>
            </w:pPr>
            <w:r>
              <w:t xml:space="preserve">OSCAL AP</w:t>
            </w:r>
          </w:p>
        </w:tc>
        <w:tc>
          <w:tcPr/>
          <w:p>
            <w:pPr>
              <w:pStyle w:val="Compact"/>
            </w:pPr>
            <w:r>
              <w:t xml:space="preserve">Ref-impl</w:t>
            </w:r>
          </w:p>
        </w:tc>
        <w:tc>
          <w:tcPr/>
          <w:p>
            <w:pPr>
              <w:pStyle w:val="Compact"/>
            </w:pPr>
            <w:r>
              <w:t xml:space="preserve">10 themes, 46 CR26 indicators</w:t>
            </w:r>
          </w:p>
        </w:tc>
      </w:tr>
      <w:tr>
        <w:tc>
          <w:tcPr/>
          <w:p>
            <w:pPr>
              <w:pStyle w:val="Compact"/>
            </w:pPr>
            <w:r>
              <w:t xml:space="preserve">OSCAL AR</w:t>
            </w:r>
          </w:p>
        </w:tc>
        <w:tc>
          <w:tcPr/>
          <w:p>
            <w:pPr>
              <w:pStyle w:val="Compact"/>
            </w:pPr>
            <w:r>
              <w:t xml:space="preserve">Ref-impl</w:t>
            </w:r>
          </w:p>
        </w:tc>
        <w:tc>
          <w:tcPr/>
          <w:p>
            <w:pPr>
              <w:pStyle w:val="Compact"/>
            </w:pPr>
            <w:r>
              <w:t xml:space="preserve">29 findings, 0 open</w:t>
            </w:r>
            <w:r>
              <w:t xml:space="preserve"> </w:t>
            </w:r>
            <w:r>
              <w:rPr>
                <w:b/>
                <w:bCs/>
              </w:rPr>
              <w:t xml:space="preserve">in the internal rule set</w:t>
            </w:r>
            <w:r>
              <w:t xml:space="preserve"> </w:t>
            </w:r>
            <w:r>
              <w:t xml:space="preserve">— expected non-empty once CR26-mapped and assessed</w:t>
            </w:r>
          </w:p>
        </w:tc>
      </w:tr>
      <w:tr>
        <w:tc>
          <w:tcPr/>
          <w:p>
            <w:pPr>
              <w:pStyle w:val="Compact"/>
            </w:pPr>
            <w:r>
              <w:t xml:space="preserve">OSCAL POA&amp;M</w:t>
            </w:r>
          </w:p>
        </w:tc>
        <w:tc>
          <w:tcPr/>
          <w:p>
            <w:pPr>
              <w:pStyle w:val="Compact"/>
            </w:pPr>
            <w:r>
              <w:t xml:space="preserve">Ref-impl</w:t>
            </w:r>
          </w:p>
        </w:tc>
        <w:tc>
          <w:tcPr/>
          <w:p>
            <w:pPr>
              <w:pStyle w:val="Compact"/>
            </w:pPr>
            <w:r>
              <w:t xml:space="preserve">0 items in the internal rule set; POA&amp;M expected non-empty after CR26 mapping + SCA</w:t>
            </w:r>
          </w:p>
        </w:tc>
      </w:tr>
      <w:tr>
        <w:tc>
          <w:tcPr/>
          <w:p>
            <w:pPr>
              <w:pStyle w:val="Compact"/>
            </w:pPr>
            <w:r>
              <w:t xml:space="preserve">ScuBA adapter (KSI-001..010)</w:t>
            </w:r>
          </w:p>
        </w:tc>
        <w:tc>
          <w:tcPr/>
          <w:p>
            <w:pPr>
              <w:pStyle w:val="Compact"/>
            </w:pPr>
            <w:r>
              <w:t xml:space="preserve">Ref-impl</w:t>
            </w:r>
          </w:p>
        </w:tc>
        <w:tc>
          <w:tcPr/>
          <w:p>
            <w:pPr>
              <w:pStyle w:val="Compact"/>
            </w:pPr>
            <w:r>
              <w:t xml:space="preserve">CISA ScuBAGear M365 continuous assessment</w:t>
            </w:r>
          </w:p>
        </w:tc>
      </w:tr>
      <w:tr>
        <w:tc>
          <w:tcPr/>
          <w:p>
            <w:pPr>
              <w:pStyle w:val="Compact"/>
            </w:pPr>
            <w:r>
              <w:t xml:space="preserve">Slot evaluator (KSI-011..029)</w:t>
            </w:r>
          </w:p>
        </w:tc>
        <w:tc>
          <w:tcPr/>
          <w:p>
            <w:pPr>
              <w:pStyle w:val="Compact"/>
            </w:pPr>
            <w:r>
              <w:t xml:space="preserve">Ref-impl</w:t>
            </w:r>
          </w:p>
        </w:tc>
        <w:tc>
          <w:tcPr/>
          <w:p>
            <w:pPr>
              <w:pStyle w:val="Compact"/>
            </w:pPr>
            <w:r>
              <w:t xml:space="preserve">High-confidence bindings for all active rules</w:t>
            </w:r>
          </w:p>
        </w:tc>
      </w:tr>
    </w:tbl>
    <w:p>
      <w:pPr>
        <w:pStyle w:val="SourceCode"/>
      </w:pPr>
      <w:r>
        <w:rPr>
          <w:rStyle w:val="CommentTok"/>
        </w:rPr>
        <w:t xml:space="preserve"># Generate the full bundle (run monthly for ConMon) — shown for the reference</w:t>
      </w:r>
      <w:r>
        <w:br/>
      </w:r>
      <w:r>
        <w:rPr>
          <w:rStyle w:val="CommentTok"/>
        </w:rPr>
        <w:t xml:space="preserve"># implementation; any engine satisfying the series evidence contract emits the</w:t>
      </w:r>
      <w:r>
        <w:br/>
      </w:r>
      <w:r>
        <w:rPr>
          <w:rStyle w:val="CommentTok"/>
        </w:rPr>
        <w:t xml:space="preserve"># same AP/AR/POA&amp;M bundle shape: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rPr>
          <w:rStyle w:val="CommentTok"/>
        </w:rPr>
        <w:t xml:space="preserve"># Result: 29/29 self-assessed satisfied against the series' internal KSI decomposition,</w:t>
      </w:r>
      <w:r>
        <w:br/>
      </w:r>
      <w:r>
        <w:rPr>
          <w:rStyle w:val="CommentTok"/>
        </w:rPr>
        <w:t xml:space="preserve"># pending CR26 rule-ID reconciliation and independent SCA (POA&amp;M expected</w:t>
      </w:r>
      <w:r>
        <w:br/>
      </w:r>
      <w:r>
        <w:rPr>
          <w:rStyle w:val="CommentTok"/>
        </w:rPr>
        <w:t xml:space="preserve"># non-empty once mapped/assessed).</w:t>
      </w:r>
    </w:p>
    <w:p>
      <w:r>
        <w:pict>
          <v:rect style="width:0;height:1.5pt" o:hralign="center" o:hrstd="t" o:hr="t"/>
        </w:pict>
      </w:r>
    </w:p>
    <w:bookmarkEnd w:id="77"/>
    <w:bookmarkStart w:id="80" w:name="implementation-priority-and-sequencing"/>
    <w:p>
      <w:pPr>
        <w:pStyle w:val="Heading1"/>
      </w:pPr>
      <w:r>
        <w:t xml:space="preserve">Implementation Priority and Sequencing</w:t>
      </w:r>
    </w:p>
    <w:p>
      <w:pPr>
        <w:pStyle w:val="TableCaption"/>
      </w:pPr>
      <w:r>
        <w:t xml:space="preserve">Implementation Priority, Technology, and Sequencing</w:t>
      </w:r>
    </w:p>
    <w:tbl>
      <w:tblPr>
        <w:tblStyle w:val="Table"/>
        <w:tblW w:type="pct" w:w="5000"/>
        <w:tblLayout w:type="fixed"/>
        <w:tblLook w:firstRow="1" w:lastRow="0" w:firstColumn="0" w:lastColumn="0" w:noHBand="0" w:noVBand="0" w:val="0020"/>
        <w:tblCaption w:val="Implementation Priority, Technology, and Sequencing"/>
      </w:tblPr>
      <w:tblGrid>
        <w:gridCol w:w="1980"/>
        <w:gridCol w:w="1980"/>
        <w:gridCol w:w="1980"/>
        <w:gridCol w:w="1980"/>
      </w:tblGrid>
      <w:tr>
        <w:trPr>
          <w:tblHeader w:val="on"/>
        </w:trPr>
        <w:tc>
          <w:tcPr/>
          <w:p>
            <w:pPr>
              <w:pStyle w:val="Compact"/>
            </w:pPr>
            <w:r>
              <w:t xml:space="preserve">Priority</w:t>
            </w:r>
          </w:p>
        </w:tc>
        <w:tc>
          <w:tcPr/>
          <w:p>
            <w:pPr>
              <w:pStyle w:val="Compact"/>
            </w:pPr>
            <w:r>
              <w:t xml:space="preserve">Track</w:t>
            </w:r>
          </w:p>
        </w:tc>
        <w:tc>
          <w:tcPr/>
          <w:p>
            <w:pPr>
              <w:pStyle w:val="Compact"/>
            </w:pPr>
            <w:r>
              <w:t xml:space="preserve">Technology</w:t>
            </w:r>
          </w:p>
        </w:tc>
        <w:tc>
          <w:tcPr/>
          <w:p>
            <w:pPr>
              <w:pStyle w:val="Compact"/>
            </w:pPr>
            <w:r>
              <w:t xml:space="preserve">Rationale</w:t>
            </w:r>
          </w:p>
        </w:tc>
      </w:tr>
      <w:tr>
        <w:tc>
          <w:tcPr/>
          <w:p>
            <w:pPr>
              <w:pStyle w:val="Compact"/>
            </w:pPr>
            <w:r>
              <w:rPr>
                <w:b/>
                <w:bCs/>
              </w:rPr>
              <w:t xml:space="preserve">1 — Immediate</w:t>
            </w:r>
          </w:p>
        </w:tc>
        <w:tc>
          <w:tcPr/>
          <w:p>
            <w:pPr>
              <w:pStyle w:val="Compact"/>
            </w:pPr>
            <w:r>
              <w:t xml:space="preserve">Vol I Book 01: InfoBlox DDI Landing Zone</w:t>
            </w:r>
          </w:p>
        </w:tc>
        <w:tc>
          <w:tcPr/>
          <w:p>
            <w:pPr>
              <w:pStyle w:val="Compact"/>
            </w:pPr>
            <w:r>
              <w:t xml:space="preserve">InfoBlox DDI (DNSSEC, RPZ, IPAM, PKI, Syslog)</w:t>
            </w:r>
          </w:p>
        </w:tc>
        <w:tc>
          <w:tcPr/>
          <w:p>
            <w:pPr>
              <w:pStyle w:val="Compact"/>
            </w:pPr>
            <w:r>
              <w:t xml:space="preserve">Blocks every other implementation: DNS is the foundational naming layer. Zero Trust policy, ZTNA micro-tunnels, RPZ boundary enforcement, and certificate lifecycle all depend on a functioning DDI layer. Largest evidence gap — 16 controls with no automated evidence today.</w:t>
            </w:r>
          </w:p>
        </w:tc>
      </w:tr>
      <w:tr>
        <w:tc>
          <w:tcPr/>
          <w:p>
            <w:pPr>
              <w:pStyle w:val="Compact"/>
            </w:pPr>
            <w:r>
              <w:rPr>
                <w:b/>
                <w:bCs/>
              </w:rPr>
              <w:t xml:space="preserve">1a — Concurrent with Vol I Book 01</w:t>
            </w:r>
          </w:p>
        </w:tc>
        <w:tc>
          <w:tcPr/>
          <w:p>
            <w:pPr>
              <w:pStyle w:val="Compact"/>
            </w:pPr>
            <w:r>
              <w:t xml:space="preserve">Vol I Book 02: Network Access Control</w:t>
            </w:r>
          </w:p>
        </w:tc>
        <w:tc>
          <w:tcPr/>
          <w:p>
            <w:pPr>
              <w:pStyle w:val="Compact"/>
            </w:pPr>
            <w:r>
              <w:t xml:space="preserve">802.1X EAP-TLS + RADIUS + Intune SCEP</w:t>
            </w:r>
          </w:p>
        </w:tc>
        <w:tc>
          <w:tcPr/>
          <w:p>
            <w:pPr>
              <w:pStyle w:val="Compact"/>
            </w:pPr>
            <w:r>
              <w:t xml:space="preserve">Monitor-mode 802.1X and DHCP fingerprinting can begin as soon as IPAM exists — NAC’s device inventory is Vol I Book 01’s IPAM. Deploying NAC while the DDI grid rolls out avoids re-touching every switch port twice.</w:t>
            </w:r>
          </w:p>
        </w:tc>
      </w:tr>
      <w:tr>
        <w:tc>
          <w:tcPr/>
          <w:p>
            <w:pPr>
              <w:pStyle w:val="Compact"/>
            </w:pPr>
            <w:r>
              <w:rPr>
                <w:b/>
                <w:bCs/>
              </w:rPr>
              <w:t xml:space="preserve">1b — Precedes Vol I Book 05 and Vol II Books 01–02</w:t>
            </w:r>
          </w:p>
        </w:tc>
        <w:tc>
          <w:tcPr/>
          <w:p>
            <w:pPr>
              <w:pStyle w:val="Compact"/>
            </w:pPr>
            <w:r>
              <w:t xml:space="preserve">Vol I Book 03: Certificates &amp; Tokens</w:t>
            </w:r>
          </w:p>
        </w:tc>
        <w:tc>
          <w:tcPr/>
          <w:p>
            <w:pPr>
              <w:pStyle w:val="Compact"/>
            </w:pPr>
            <w:r>
              <w:t xml:space="preserve">Entra ID CBA + ACME + managed identity</w:t>
            </w:r>
          </w:p>
        </w:tc>
        <w:tc>
          <w:tcPr/>
          <w:p>
            <w:pPr>
              <w:pStyle w:val="Compact"/>
            </w:pPr>
            <w:r>
              <w:t xml:space="preserve">Certificate and token doctrine is the prerequisite for the identity modernization (Vol I Book 05) and SQL authentication (Vol II Books 01–02) tracks; the certificate pipeline it establishes is the same one Vol I Book 02’s machine certificates ride.</w:t>
            </w:r>
          </w:p>
        </w:tc>
      </w:tr>
      <w:tr>
        <w:tc>
          <w:tcPr/>
          <w:p>
            <w:pPr>
              <w:pStyle w:val="Compact"/>
            </w:pPr>
            <w:r>
              <w:rPr>
                <w:b/>
                <w:bCs/>
              </w:rPr>
              <w:t xml:space="preserve">1c — Precedes Vol I Book 05</w:t>
            </w:r>
          </w:p>
        </w:tc>
        <w:tc>
          <w:tcPr/>
          <w:p>
            <w:pPr>
              <w:pStyle w:val="Compact"/>
            </w:pPr>
            <w:r>
              <w:t xml:space="preserve">Vol I Book 04: OPM HRIT Identity &amp; Org SSOT</w:t>
            </w:r>
          </w:p>
        </w:tc>
        <w:tc>
          <w:tcPr/>
          <w:p>
            <w:pPr>
              <w:pStyle w:val="Compact"/>
            </w:pPr>
            <w:r>
              <w:t xml:space="preserve">Oracle HCM Cloud + Entra inbound provisioning (Spec2-D3.1)</w:t>
            </w:r>
          </w:p>
        </w:tc>
        <w:tc>
          <w:tcPr/>
          <w:p>
            <w:pPr>
              <w:pStyle w:val="Compact"/>
            </w:pPr>
            <w:r>
              <w:t xml:space="preserve">Vol I Book 05’s structural dependency is explicit: tokens work only if the authorization they assert is correct. The HR-derived SSOT must be flowing into Entra before the token rollout signs its assertions — attribute-authority agreement and the inbound provisioning pilot can start immediately alongside Vol I Book 01.</w:t>
            </w:r>
          </w:p>
        </w:tc>
      </w:tr>
      <w:tr>
        <w:tc>
          <w:tcPr/>
          <w:p>
            <w:pPr>
              <w:pStyle w:val="Compact"/>
            </w:pPr>
            <w:r>
              <w:rPr>
                <w:b/>
                <w:bCs/>
              </w:rPr>
              <w:t xml:space="preserve">2 — Concurrent with Vol I Book 01</w:t>
            </w:r>
          </w:p>
        </w:tc>
        <w:tc>
          <w:tcPr/>
          <w:p>
            <w:pPr>
              <w:pStyle w:val="Compact"/>
            </w:pPr>
            <w:r>
              <w:t xml:space="preserve">Vol I Book 06: SD-WAN + SASE</w:t>
            </w:r>
          </w:p>
        </w:tc>
        <w:tc>
          <w:tcPr/>
          <w:p>
            <w:pPr>
              <w:pStyle w:val="Compact"/>
            </w:pPr>
            <w:r>
              <w:t xml:space="preserve">SD-WAN (Cisco/VMware/Palo Alto) + SASE (Zscaler/Netskope/Prisma)</w:t>
            </w:r>
          </w:p>
        </w:tc>
        <w:tc>
          <w:tcPr/>
          <w:p>
            <w:pPr>
              <w:pStyle w:val="Compact"/>
            </w:pPr>
            <w:r>
              <w:t xml:space="preserve">The G.114 compliance failure (Amazon Connect latency) is an active operational problem generating citizen-facing quality failures today. DIA + SASE deployment is the fastest path to a measurable operational improvement and closes 7 NIST controls simultaneously.</w:t>
            </w:r>
          </w:p>
        </w:tc>
      </w:tr>
      <w:tr>
        <w:tc>
          <w:tcPr/>
          <w:p>
            <w:pPr>
              <w:pStyle w:val="Compact"/>
            </w:pPr>
            <w:r>
              <w:rPr>
                <w:b/>
                <w:bCs/>
              </w:rPr>
              <w:t xml:space="preserve">3 — Structured program</w:t>
            </w:r>
          </w:p>
        </w:tc>
        <w:tc>
          <w:tcPr/>
          <w:p>
            <w:pPr>
              <w:pStyle w:val="Compact"/>
            </w:pPr>
            <w:r>
              <w:t xml:space="preserve">Vol I Book 05: Entra ID + ZTNA + Drift Reconciliation</w:t>
            </w:r>
          </w:p>
        </w:tc>
        <w:tc>
          <w:tcPr/>
          <w:p>
            <w:pPr>
              <w:pStyle w:val="Compact"/>
            </w:pPr>
            <w:r>
              <w:t xml:space="preserve">Entra ID, Intune MDM, ZTNA overlay, drift-reconciliation control plane</w:t>
            </w:r>
          </w:p>
        </w:tc>
        <w:tc>
          <w:tcPr/>
          <w:p>
            <w:pPr>
              <w:pStyle w:val="Compact"/>
            </w:pPr>
            <w:r>
              <w:t xml:space="preserve">The largest structural change — replacing session-based with token-based identity. Plan as a multi-phase program; SSOT restoration (Principle 1) must precede token rollout (Principle 3).</w:t>
            </w:r>
          </w:p>
        </w:tc>
      </w:tr>
      <w:tr>
        <w:tc>
          <w:tcPr/>
          <w:p>
            <w:pPr>
              <w:pStyle w:val="Compact"/>
            </w:pPr>
            <w:r>
              <w:rPr>
                <w:b/>
                <w:bCs/>
              </w:rPr>
              <w:t xml:space="preserve">4 — In parallel with Vol I Book 05</w:t>
            </w:r>
          </w:p>
        </w:tc>
        <w:tc>
          <w:tcPr/>
          <w:p>
            <w:pPr>
              <w:pStyle w:val="Compact"/>
            </w:pPr>
            <w:r>
              <w:t xml:space="preserve">Vol II Books 01–02: SQL Server Authentication</w:t>
            </w:r>
          </w:p>
        </w:tc>
        <w:tc>
          <w:tcPr/>
          <w:p>
            <w:pPr>
              <w:pStyle w:val="Compact"/>
            </w:pPr>
            <w:r>
              <w:t xml:space="preserve">Azure Arc + Entra ID for SQL; NTLM elimination program</w:t>
            </w:r>
          </w:p>
        </w:tc>
        <w:tc>
          <w:tcPr/>
          <w:p>
            <w:pPr>
              <w:pStyle w:val="Compact"/>
            </w:pPr>
            <w:r>
              <w:t xml:space="preserve">Arc enrollment enables SQL Entra auth independently of the full AD-to-Entra migration. Can begin on SQL instances before the broader Entra migration completes. NTLM Phase A (discovery) can begin immediately.</w:t>
            </w:r>
          </w:p>
        </w:tc>
      </w:tr>
      <w:tr>
        <w:tc>
          <w:tcPr/>
          <w:p>
            <w:pPr>
              <w:pStyle w:val="Compact"/>
            </w:pPr>
            <w:r>
              <w:rPr>
                <w:b/>
                <w:bCs/>
              </w:rPr>
              <w:t xml:space="preserve">5 — Concurrent with Vol II Books 01–02</w:t>
            </w:r>
          </w:p>
        </w:tc>
        <w:tc>
          <w:tcPr/>
          <w:p>
            <w:pPr>
              <w:pStyle w:val="Compact"/>
            </w:pPr>
            <w:r>
              <w:t xml:space="preserve">Vol II Book 03: Database Architecture</w:t>
            </w:r>
          </w:p>
        </w:tc>
        <w:tc>
          <w:tcPr/>
          <w:p>
            <w:pPr>
              <w:pStyle w:val="Compact"/>
            </w:pPr>
            <w:r>
              <w:t xml:space="preserve">TDE; SD-WAN QoS for DB traffic; DR architecture; consistency alignment</w:t>
            </w:r>
          </w:p>
        </w:tc>
        <w:tc>
          <w:tcPr/>
          <w:p>
            <w:pPr>
              <w:pStyle w:val="Compact"/>
            </w:pPr>
            <w:r>
              <w:t xml:space="preserve">TDE can be applied immediately; SD-WAN QoS for database traffic is a configuration change if SD-WAN is deployed; DR architecture is an ongoing program.</w:t>
            </w:r>
          </w:p>
        </w:tc>
      </w:tr>
    </w:tbl>
    <w:p>
      <w:pPr>
        <w:pStyle w:val="BodyText"/>
      </w:pPr>
      <w:r>
        <w:rPr>
          <w:b/>
          <w:bCs/>
        </w:rPr>
        <w:t xml:space="preserve">The January 1, 2027 hard date:</w:t>
      </w:r>
      <w:r>
        <w:t xml:space="preserve"> </w:t>
      </w:r>
      <w:r>
        <w:t xml:space="preserve">FedRAMP 20x Consolidated Rules are mandatory on January 1, 2027 for the certified cloud service offerings Agency inherits. New Rev 5 certifications cease June 11, 2027. An agency whose inherited services transition to machine-readable KSI evidence while its own ConMon evidence stays manual will face inheritance friction at renewal — which is why this series structures agency evidence on the same KSI schema. All tracks must be in active implementation — not in planning — by Q4 2026.</w:t>
      </w:r>
    </w:p>
    <w:p>
      <w:r>
        <w:pict>
          <v:rect style="width:0;height:1.5pt" o:hralign="center" o:hrstd="t" o:hr="t"/>
        </w:pict>
      </w:r>
    </w:p>
    <w:bookmarkStart w:id="78" w:name="phased-delivery-roadmap"/>
    <w:p>
      <w:pPr>
        <w:pStyle w:val="Heading2"/>
      </w:pPr>
      <w:r>
        <w:t xml:space="preserve">Phased Delivery Roadmap</w:t>
      </w:r>
    </w:p>
    <w:p>
      <w:pPr>
        <w:pStyle w:val="FirstParagraph"/>
      </w:pPr>
      <w:r>
        <w:t xml:space="preserve">The roadmap tracks two things that must not be conflated:</w:t>
      </w:r>
      <w:r>
        <w:t xml:space="preserve"> </w:t>
      </w:r>
      <w:r>
        <w:rPr>
          <w:b/>
          <w:bCs/>
        </w:rPr>
        <w:t xml:space="preserve">authoring</w:t>
      </w:r>
      <w:r>
        <w:t xml:space="preserve"> </w:t>
      </w:r>
      <w:r>
        <w:t xml:space="preserve">(the</w:t>
      </w:r>
      <w:r>
        <w:t xml:space="preserve"> </w:t>
      </w:r>
      <w:r>
        <w:t xml:space="preserve">books, templates, and evidence pipeline — complete as of July 2026) and</w:t>
      </w:r>
      <w:r>
        <w:t xml:space="preserve"> </w:t>
      </w:r>
      <w:r>
        <w:rPr>
          <w:b/>
          <w:bCs/>
        </w:rPr>
        <w:t xml:space="preserve">implementation</w:t>
      </w:r>
      <w:r>
        <w:t xml:space="preserve"> </w:t>
      </w:r>
      <w:r>
        <w:t xml:space="preserve">(deployment against the estate — not started; draft pending</w:t>
      </w:r>
      <w:r>
        <w:t xml:space="preserve"> </w:t>
      </w:r>
      <w:r>
        <w:t xml:space="preserve">OIS review). Phase dates below are implementation milestones;</w:t>
      </w:r>
      <w:r>
        <w:t xml:space="preserve"> </w:t>
      </w:r>
      <w:r>
        <w:t xml:space="preserve">“Authored”</w:t>
      </w:r>
      <w:r>
        <w:t xml:space="preserve"> </w:t>
      </w:r>
      <w:r>
        <w:t xml:space="preserve">means</w:t>
      </w:r>
      <w:r>
        <w:t xml:space="preserve"> </w:t>
      </w:r>
      <w:r>
        <w:t xml:space="preserve">the deliverable documents and tooling exist, not that the milestone has been</w:t>
      </w:r>
      <w:r>
        <w:t xml:space="preserve"> </w:t>
      </w:r>
      <w:r>
        <w:t xml:space="preserve">executed.</w:t>
      </w:r>
    </w:p>
    <w:p>
      <w:pPr>
        <w:pStyle w:val="TableCaption"/>
      </w:pPr>
      <w:r>
        <w:t xml:space="preserve">Phased Delivery Roadmap — Phase 0 through Phase 6 (authoring vs. implementation)</w:t>
      </w:r>
    </w:p>
    <w:tbl>
      <w:tblPr>
        <w:tblStyle w:val="Table"/>
        <w:tblW w:type="pct" w:w="5000"/>
        <w:tblLayout w:type="fixed"/>
        <w:tblLook w:firstRow="1" w:lastRow="0" w:firstColumn="0" w:lastColumn="0" w:noHBand="0" w:noVBand="0" w:val="0020"/>
        <w:tblCaption w:val="Phased Delivery Roadmap — Phase 0 through Phase 6 (authoring vs. implementation)"/>
      </w:tblPr>
      <w:tblGrid>
        <w:gridCol w:w="955"/>
        <w:gridCol w:w="1365"/>
        <w:gridCol w:w="1502"/>
        <w:gridCol w:w="2184"/>
        <w:gridCol w:w="1911"/>
      </w:tblGrid>
      <w:tr>
        <w:trPr>
          <w:tblHeader w:val="on"/>
        </w:trPr>
        <w:tc>
          <w:tcPr/>
          <w:p>
            <w:pPr>
              <w:pStyle w:val="Compact"/>
            </w:pPr>
            <w:r>
              <w:t xml:space="preserve">Phase</w:t>
            </w:r>
          </w:p>
        </w:tc>
        <w:tc>
          <w:tcPr/>
          <w:p>
            <w:pPr>
              <w:pStyle w:val="Compact"/>
            </w:pPr>
            <w:r>
              <w:t xml:space="preserve">Timeline</w:t>
            </w:r>
          </w:p>
        </w:tc>
        <w:tc>
          <w:tcPr/>
          <w:p>
            <w:pPr>
              <w:pStyle w:val="Compact"/>
            </w:pPr>
            <w:r>
              <w:t xml:space="preserve">Authoring</w:t>
            </w:r>
          </w:p>
        </w:tc>
        <w:tc>
          <w:tcPr/>
          <w:p>
            <w:pPr>
              <w:pStyle w:val="Compact"/>
            </w:pPr>
            <w:r>
              <w:t xml:space="preserve">Implementation</w:t>
            </w:r>
          </w:p>
        </w:tc>
        <w:tc>
          <w:tcPr/>
          <w:p>
            <w:pPr>
              <w:pStyle w:val="Compact"/>
            </w:pPr>
            <w:r>
              <w:t xml:space="preserve">Deliverables</w:t>
            </w:r>
          </w:p>
        </w:tc>
      </w:tr>
      <w:tr>
        <w:tc>
          <w:tcPr/>
          <w:p>
            <w:pPr>
              <w:pStyle w:val="Compact"/>
            </w:pPr>
            <w:r>
              <w:rPr>
                <w:b/>
                <w:bCs/>
              </w:rPr>
              <w:t xml:space="preserve">Phase 0</w:t>
            </w:r>
          </w:p>
        </w:tc>
        <w:tc>
          <w:tcPr/>
          <w:p>
            <w:pPr>
              <w:pStyle w:val="Compact"/>
            </w:pPr>
            <w:r>
              <w:t xml:space="preserve">July 2026</w:t>
            </w:r>
          </w:p>
        </w:tc>
        <w:tc>
          <w:tcPr/>
          <w:p>
            <w:pPr>
              <w:pStyle w:val="Compact"/>
            </w:pPr>
            <w:r>
              <w:t xml:space="preserve">✅ Complete</w:t>
            </w:r>
          </w:p>
        </w:tc>
        <w:tc>
          <w:tcPr/>
          <w:p>
            <w:pPr>
              <w:pStyle w:val="Compact"/>
            </w:pPr>
            <w:r>
              <w:t xml:space="preserve">⬜ Not started</w:t>
            </w:r>
          </w:p>
        </w:tc>
        <w:tc>
          <w:tcPr/>
          <w:p>
            <w:pPr>
              <w:pStyle w:val="Compact"/>
            </w:pPr>
            <w:r>
              <w:t xml:space="preserve">Vol I Books 01 and 05–06, Vol II Books 01–03, Vol III Books 01, 02, 05, 06, and Vol IV Book 01 delivered; Conformance Adapter slots 1–4 bound</w:t>
            </w:r>
          </w:p>
        </w:tc>
      </w:tr>
      <w:tr>
        <w:tc>
          <w:tcPr/>
          <w:p>
            <w:pPr>
              <w:pStyle w:val="Compact"/>
            </w:pPr>
            <w:r>
              <w:rPr>
                <w:b/>
                <w:bCs/>
              </w:rPr>
              <w:t xml:space="preserve">Phase 1</w:t>
            </w:r>
          </w:p>
        </w:tc>
        <w:tc>
          <w:tcPr/>
          <w:p>
            <w:pPr>
              <w:pStyle w:val="Compact"/>
            </w:pPr>
            <w:r>
              <w:t xml:space="preserve">August 2026</w:t>
            </w:r>
          </w:p>
        </w:tc>
        <w:tc>
          <w:tcPr/>
          <w:p>
            <w:pPr>
              <w:pStyle w:val="Compact"/>
            </w:pPr>
            <w:r>
              <w:t xml:space="preserve">✅ Complete</w:t>
            </w:r>
          </w:p>
        </w:tc>
        <w:tc>
          <w:tcPr/>
          <w:p>
            <w:pPr>
              <w:pStyle w:val="Compact"/>
            </w:pPr>
            <w:r>
              <w:t xml:space="preserve">⬜ Not started</w:t>
            </w:r>
          </w:p>
        </w:tc>
        <w:tc>
          <w:tcPr/>
          <w:p>
            <w:pPr>
              <w:pStyle w:val="Compact"/>
            </w:pPr>
            <w:r>
              <w:t xml:space="preserve">Vol IV Book 02 SR/SBOM/VDR; Adapter SR slot bound; KSI-011–014 → active</w:t>
            </w:r>
          </w:p>
        </w:tc>
      </w:tr>
      <w:tr>
        <w:tc>
          <w:tcPr/>
          <w:p>
            <w:pPr>
              <w:pStyle w:val="Compact"/>
            </w:pPr>
            <w:r>
              <w:rPr>
                <w:b/>
                <w:bCs/>
              </w:rPr>
              <w:t xml:space="preserve">Phase 2</w:t>
            </w:r>
          </w:p>
        </w:tc>
        <w:tc>
          <w:tcPr/>
          <w:p>
            <w:pPr>
              <w:pStyle w:val="Compact"/>
            </w:pPr>
            <w:r>
              <w:t xml:space="preserve">Sep–Oct 2026</w:t>
            </w:r>
          </w:p>
        </w:tc>
        <w:tc>
          <w:tcPr/>
          <w:p>
            <w:pPr>
              <w:pStyle w:val="Compact"/>
            </w:pPr>
            <w:r>
              <w:t xml:space="preserve">✅ Complete</w:t>
            </w:r>
          </w:p>
        </w:tc>
        <w:tc>
          <w:tcPr/>
          <w:p>
            <w:pPr>
              <w:pStyle w:val="Compact"/>
            </w:pPr>
            <w:r>
              <w:t xml:space="preserve">⬜ Not started</w:t>
            </w:r>
          </w:p>
        </w:tc>
        <w:tc>
          <w:tcPr/>
          <w:p>
            <w:pPr>
              <w:pStyle w:val="Compact"/>
            </w:pPr>
            <w:r>
              <w:t xml:space="preserve">OSCAL Emitter AR output; Vol IV Book 03 PM governance artifacts; CR26 SR/PM rules</w:t>
            </w:r>
          </w:p>
        </w:tc>
      </w:tr>
      <w:tr>
        <w:tc>
          <w:tcPr/>
          <w:p>
            <w:pPr>
              <w:pStyle w:val="Compact"/>
            </w:pPr>
            <w:r>
              <w:rPr>
                <w:b/>
                <w:bCs/>
              </w:rPr>
              <w:t xml:space="preserve">Phase 3</w:t>
            </w:r>
          </w:p>
        </w:tc>
        <w:tc>
          <w:tcPr/>
          <w:p>
            <w:pPr>
              <w:pStyle w:val="Compact"/>
            </w:pPr>
            <w:r>
              <w:t xml:space="preserve">November 2026</w:t>
            </w:r>
          </w:p>
        </w:tc>
        <w:tc>
          <w:tcPr/>
          <w:p>
            <w:pPr>
              <w:pStyle w:val="Compact"/>
            </w:pPr>
            <w:r>
              <w:t xml:space="preserve">✅ Complete</w:t>
            </w:r>
          </w:p>
        </w:tc>
        <w:tc>
          <w:tcPr/>
          <w:p>
            <w:pPr>
              <w:pStyle w:val="Compact"/>
            </w:pPr>
            <w:r>
              <w:t xml:space="preserve">⬜ Not started</w:t>
            </w:r>
          </w:p>
        </w:tc>
        <w:tc>
          <w:tcPr/>
          <w:p>
            <w:pPr>
              <w:pStyle w:val="Compact"/>
            </w:pPr>
            <w:r>
              <w:t xml:space="preserve">Vol IV Book 04 PT/PII templates; Vol IV Book 05 AT training program; KSI-022 → active; all 29 internal KSI rules evaluable</w:t>
            </w:r>
          </w:p>
        </w:tc>
      </w:tr>
      <w:tr>
        <w:tc>
          <w:tcPr/>
          <w:p>
            <w:pPr>
              <w:pStyle w:val="Compact"/>
            </w:pPr>
            <w:r>
              <w:rPr>
                <w:b/>
                <w:bCs/>
              </w:rPr>
              <w:t xml:space="preserve">Phase 4</w:t>
            </w:r>
          </w:p>
        </w:tc>
        <w:tc>
          <w:tcPr/>
          <w:p>
            <w:pPr>
              <w:pStyle w:val="Compact"/>
            </w:pPr>
            <w:r>
              <w:t xml:space="preserve">December 2026</w:t>
            </w:r>
          </w:p>
        </w:tc>
        <w:tc>
          <w:tcPr/>
          <w:p>
            <w:pPr>
              <w:pStyle w:val="Compact"/>
            </w:pPr>
            <w:r>
              <w:t xml:space="preserve">✅ Complete</w:t>
            </w:r>
          </w:p>
        </w:tc>
        <w:tc>
          <w:tcPr/>
          <w:p>
            <w:pPr>
              <w:pStyle w:val="Compact"/>
            </w:pPr>
            <w:r>
              <w:t xml:space="preserve">⬜ Not started</w:t>
            </w:r>
          </w:p>
        </w:tc>
        <w:tc>
          <w:tcPr/>
          <w:p>
            <w:pPr>
              <w:pStyle w:val="Compact"/>
            </w:pPr>
            <w:r>
              <w:t xml:space="preserve">FedRAMP VDR/VER submission (NTC-0014) (due Dec 7); Authorization package assembled for the Agency AO; OSCAL AP+AR+POAM bundle (29/29 self-assessed, pending independent SCA)</w:t>
            </w:r>
          </w:p>
        </w:tc>
      </w:tr>
      <w:tr>
        <w:tc>
          <w:tcPr/>
          <w:p>
            <w:pPr>
              <w:pStyle w:val="Compact"/>
            </w:pPr>
            <w:r>
              <w:rPr>
                <w:b/>
                <w:bCs/>
              </w:rPr>
              <w:t xml:space="preserve">Phase 5</w:t>
            </w:r>
          </w:p>
        </w:tc>
        <w:tc>
          <w:tcPr/>
          <w:p>
            <w:pPr>
              <w:pStyle w:val="Compact"/>
            </w:pPr>
            <w:r>
              <w:t xml:space="preserve">January 2027</w:t>
            </w:r>
          </w:p>
        </w:tc>
        <w:tc>
          <w:tcPr/>
          <w:p>
            <w:pPr>
              <w:pStyle w:val="Compact"/>
            </w:pPr>
            <w:r>
              <w:t xml:space="preserve">✅ Complete</w:t>
            </w:r>
          </w:p>
        </w:tc>
        <w:tc>
          <w:tcPr/>
          <w:p>
            <w:pPr>
              <w:pStyle w:val="Compact"/>
            </w:pPr>
            <w:r>
              <w:t xml:space="preserve">⬜ Not started</w:t>
            </w:r>
          </w:p>
        </w:tc>
        <w:tc>
          <w:tcPr/>
          <w:p>
            <w:pPr>
              <w:pStyle w:val="Compact"/>
            </w:pPr>
            <w:r>
              <w:t xml:space="preserve">CR26 mandatory for inherited CSOs; All 23 implementation books operational; Continuous monitoring cadence established</w:t>
            </w:r>
          </w:p>
        </w:tc>
      </w:tr>
      <w:tr>
        <w:tc>
          <w:tcPr/>
          <w:p>
            <w:pPr>
              <w:pStyle w:val="Compact"/>
            </w:pPr>
            <w:r>
              <w:rPr>
                <w:b/>
                <w:bCs/>
              </w:rPr>
              <w:t xml:space="preserve">Phase 6</w:t>
            </w:r>
          </w:p>
        </w:tc>
        <w:tc>
          <w:tcPr/>
          <w:p>
            <w:pPr>
              <w:pStyle w:val="Compact"/>
            </w:pPr>
            <w:r>
              <w:t xml:space="preserve">Ongoing</w:t>
            </w:r>
          </w:p>
        </w:tc>
        <w:tc>
          <w:tcPr/>
          <w:p>
            <w:pPr>
              <w:pStyle w:val="Compact"/>
            </w:pPr>
            <w:r>
              <w:t xml:space="preserve">✅ Complete</w:t>
            </w:r>
          </w:p>
        </w:tc>
        <w:tc>
          <w:tcPr/>
          <w:p>
            <w:pPr>
              <w:pStyle w:val="Compact"/>
            </w:pPr>
            <w:r>
              <w:t xml:space="preserve">⬜ Not started</w:t>
            </w:r>
          </w:p>
        </w:tc>
        <w:tc>
          <w:tcPr/>
          <w:p>
            <w:pPr>
              <w:pStyle w:val="Compact"/>
            </w:pPr>
            <w:r>
              <w:t xml:space="preserve">Monthly OSCAL AR refresh; Quarterly KSI evidence review; Annual full re-assessment; ATO renewal preparation</w:t>
            </w:r>
          </w:p>
        </w:tc>
      </w:tr>
    </w:tbl>
    <w:p>
      <w:r>
        <w:pict>
          <v:rect style="width:0;height:1.5pt" o:hralign="center" o:hrstd="t" o:hr="t"/>
        </w:pict>
      </w:r>
    </w:p>
    <w:bookmarkEnd w:id="78"/>
    <w:bookmarkStart w:id="79" w:name="technology-recommendations-by-gap"/>
    <w:p>
      <w:pPr>
        <w:pStyle w:val="Heading2"/>
      </w:pPr>
      <w:r>
        <w:t xml:space="preserve">Technology Recommendations by Gap</w:t>
      </w:r>
    </w:p>
    <w:p>
      <w:pPr>
        <w:pStyle w:val="TableCaption"/>
      </w:pPr>
      <w:r>
        <w:t xml:space="preserve">Technology Recommendations by Gap Area</w:t>
      </w:r>
    </w:p>
    <w:tbl>
      <w:tblPr>
        <w:tblStyle w:val="Table"/>
        <w:tblW w:type="pct" w:w="5000"/>
        <w:tblLayout w:type="fixed"/>
        <w:tblLook w:firstRow="1" w:lastRow="0" w:firstColumn="0" w:lastColumn="0" w:noHBand="0" w:noVBand="0" w:val="0020"/>
        <w:tblCaption w:val="Technology Recommendations by Gap Area"/>
      </w:tblPr>
      <w:tblGrid>
        <w:gridCol w:w="1800"/>
        <w:gridCol w:w="6120"/>
      </w:tblGrid>
      <w:tr>
        <w:trPr>
          <w:tblHeader w:val="on"/>
        </w:trPr>
        <w:tc>
          <w:tcPr/>
          <w:p>
            <w:pPr>
              <w:pStyle w:val="Compact"/>
            </w:pPr>
            <w:r>
              <w:t xml:space="preserve">Gap Area</w:t>
            </w:r>
          </w:p>
        </w:tc>
        <w:tc>
          <w:tcPr/>
          <w:p>
            <w:pPr>
              <w:pStyle w:val="Compact"/>
            </w:pPr>
            <w:r>
              <w:t xml:space="preserve">Recommended Technology / Approach</w:t>
            </w:r>
          </w:p>
        </w:tc>
      </w:tr>
      <w:tr>
        <w:tc>
          <w:tcPr/>
          <w:p>
            <w:pPr>
              <w:pStyle w:val="Compact"/>
            </w:pPr>
            <w:r>
              <w:t xml:space="preserve">SBOM generation</w:t>
            </w:r>
          </w:p>
        </w:tc>
        <w:tc>
          <w:tcPr/>
          <w:p>
            <w:pPr>
              <w:pStyle w:val="Compact"/>
            </w:pPr>
            <w:r>
              <w:t xml:space="preserve">Syft (Anchore) or Trivy — integrated into CI/CD pipeline</w:t>
            </w:r>
          </w:p>
        </w:tc>
      </w:tr>
      <w:tr>
        <w:tc>
          <w:tcPr/>
          <w:p>
            <w:pPr>
              <w:pStyle w:val="Compact"/>
            </w:pPr>
            <w:r>
              <w:t xml:space="preserve">VDR format</w:t>
            </w:r>
          </w:p>
        </w:tc>
        <w:tc>
          <w:tcPr/>
          <w:p>
            <w:pPr>
              <w:pStyle w:val="Compact"/>
            </w:pPr>
            <w:r>
              <w:t xml:space="preserve">CycloneDX 1.6 (XML or JSON) — CISA-preferred</w:t>
            </w:r>
          </w:p>
        </w:tc>
      </w:tr>
      <w:tr>
        <w:tc>
          <w:tcPr/>
          <w:p>
            <w:pPr>
              <w:pStyle w:val="Compact"/>
            </w:pPr>
            <w:r>
              <w:t xml:space="preserve">VER submission</w:t>
            </w:r>
          </w:p>
        </w:tc>
        <w:tc>
          <w:tcPr/>
          <w:p>
            <w:pPr>
              <w:pStyle w:val="Compact"/>
            </w:pPr>
            <w:r>
              <w:t xml:space="preserve">CISA VEX Portal or email per BOD 26-04 guidance</w:t>
            </w:r>
          </w:p>
        </w:tc>
      </w:tr>
      <w:tr>
        <w:tc>
          <w:tcPr/>
          <w:p>
            <w:pPr>
              <w:pStyle w:val="Compact"/>
            </w:pPr>
            <w:r>
              <w:t xml:space="preserve">OSCAL AP/AR</w:t>
            </w:r>
          </w:p>
        </w:tc>
        <w:tc>
          <w:tcPr/>
          <w:p>
            <w:pPr>
              <w:pStyle w:val="Compact"/>
            </w:pPr>
            <w:r>
              <w:t xml:space="preserve">The governance engine’s OSCAL bundle emitter (per the series evidence contract) — OSCAL document version pinned in Vol IV Book 06 §2.1 (currently 1.0.4); verify FedRAMP’s current machine-readable schema target before each authorization-cycle freeze</w:t>
            </w:r>
          </w:p>
        </w:tc>
      </w:tr>
      <w:tr>
        <w:tc>
          <w:tcPr/>
          <w:p>
            <w:pPr>
              <w:pStyle w:val="Compact"/>
            </w:pPr>
            <w:r>
              <w:t xml:space="preserve">PII mapping</w:t>
            </w:r>
          </w:p>
        </w:tc>
        <w:tc>
          <w:tcPr/>
          <w:p>
            <w:pPr>
              <w:pStyle w:val="Compact"/>
            </w:pPr>
            <w:r>
              <w:t xml:space="preserve">Purview Data Map + sensitivity label lineage (extends Vol III Book 05)</w:t>
            </w:r>
          </w:p>
        </w:tc>
      </w:tr>
      <w:tr>
        <w:tc>
          <w:tcPr/>
          <w:p>
            <w:pPr>
              <w:pStyle w:val="Compact"/>
            </w:pPr>
            <w:r>
              <w:t xml:space="preserve">PM metrics</w:t>
            </w:r>
          </w:p>
        </w:tc>
        <w:tc>
          <w:tcPr/>
          <w:p>
            <w:pPr>
              <w:pStyle w:val="Compact"/>
            </w:pPr>
            <w:r>
              <w:t xml:space="preserve">Sentinel workbook for AU/CA/PM KPI dashboard (extends Vol III Book 06)</w:t>
            </w:r>
          </w:p>
        </w:tc>
      </w:tr>
    </w:tbl>
    <w:p>
      <w:r>
        <w:pict>
          <v:rect style="width:0;height:1.5pt" o:hralign="center" o:hrstd="t" o:hr="t"/>
        </w:pict>
      </w:r>
    </w:p>
    <w:bookmarkEnd w:id="79"/>
    <w:bookmarkEnd w:id="80"/>
    <w:bookmarkStart w:id="81" w:name="document-references"/>
    <w:p>
      <w:pPr>
        <w:pStyle w:val="Heading1"/>
      </w:pPr>
      <w:r>
        <w:t xml:space="preserve">Document 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Vol I Book 01 — Federal Agency Cloud Landing Zone</w:t>
            </w:r>
          </w:p>
        </w:tc>
        <w:tc>
          <w:tcPr/>
          <w:p>
            <w:pPr>
              <w:pStyle w:val="Compact"/>
            </w:pPr>
            <w:r>
              <w:t xml:space="preserve">Vol I Book 01: InfoBlox DDI, four-environment landing zone, NIST control mapping, FedRAMP 20x KSI evidence</w:t>
            </w:r>
          </w:p>
        </w:tc>
      </w:tr>
      <w:tr>
        <w:tc>
          <w:tcPr/>
          <w:p>
            <w:pPr>
              <w:pStyle w:val="Compact"/>
            </w:pPr>
            <w:r>
              <w:t xml:space="preserve">Vol I Book 02 — Network Access Control: 802.1X and Device Identity</w:t>
            </w:r>
          </w:p>
        </w:tc>
        <w:tc>
          <w:tcPr/>
          <w:p>
            <w:pPr>
              <w:pStyle w:val="Compact"/>
            </w:pPr>
            <w:r>
              <w:t xml:space="preserve">Vol I Book 02: 802.1X EAP-TLS, RADIUS/NPS + CoA, Intune SCEP certificate pipeline, NAC policy tiers, DHCP fingerprinting, Voice VLAN precedent, IA-3/CM-8 necessity closures</w:t>
            </w:r>
          </w:p>
        </w:tc>
      </w:tr>
      <w:tr>
        <w:tc>
          <w:tcPr/>
          <w:p>
            <w:pPr>
              <w:pStyle w:val="Compact"/>
            </w:pPr>
            <w:r>
              <w:t xml:space="preserve">Vol I Book 03 — Certificates &amp; Tokens: Cryptographic Identity</w:t>
            </w:r>
          </w:p>
        </w:tc>
        <w:tc>
          <w:tcPr/>
          <w:p>
            <w:pPr>
              <w:pStyle w:val="Compact"/>
            </w:pPr>
            <w:r>
              <w:t xml:space="preserve">Vol I Book 03: PKI as a naming-plane function, ACME lifecycle automation, OAuth 2.0/OIDC and CBA, phishing-resistant MFA, workload identity, IA-5(2)/SC-12/SC-17 closure</w:t>
            </w:r>
          </w:p>
        </w:tc>
      </w:tr>
      <w:tr>
        <w:tc>
          <w:tcPr/>
          <w:p>
            <w:pPr>
              <w:pStyle w:val="Compact"/>
            </w:pPr>
            <w:r>
              <w:t xml:space="preserve">Vol I Book 04 — OPM HRIT and the Identity &amp; Organizational SSOT</w:t>
            </w:r>
          </w:p>
        </w:tc>
        <w:tc>
          <w:tcPr/>
          <w:p>
            <w:pPr>
              <w:pStyle w:val="Compact"/>
            </w:pPr>
            <w:r>
              <w:t xml:space="preserve">Vol I Book 04: HR system of record (Oracle HCM Cloud), joiner/mover/leaver lifecycle, API-driven HR inbound provisioning (Microsoft Graph</w:t>
            </w:r>
            <w:r>
              <w:t xml:space="preserve"> </w:t>
            </w:r>
            <w:r>
              <w:rPr>
                <w:rStyle w:val="VerbatimChar"/>
              </w:rPr>
              <w:t xml:space="preserve">bulkUpload</w:t>
            </w:r>
            <w:r>
              <w:t xml:space="preserve"> </w:t>
            </w:r>
            <w:r>
              <w:t xml:space="preserve">+ SCIM 2.0), org hierarchy as queryable SSOT, AC-2/PS-4/PS-5/IA-4 closure</w:t>
            </w:r>
          </w:p>
        </w:tc>
      </w:tr>
      <w:tr>
        <w:tc>
          <w:tcPr/>
          <w:p>
            <w:pPr>
              <w:pStyle w:val="Compact"/>
            </w:pPr>
            <w:r>
              <w:t xml:space="preserve">Vol I Book 05 — From Mainframe to Application-Aware Modernization</w:t>
            </w:r>
          </w:p>
        </w:tc>
        <w:tc>
          <w:tcPr/>
          <w:p>
            <w:pPr>
              <w:pStyle w:val="Compact"/>
            </w:pPr>
            <w:r>
              <w:t xml:space="preserve">Vol I Book 05: From mainframe to application-aware — the four principles, AD-to-Entra and ZTNA identity modernization, Kerberos logon under multipath failover, load-balancer dissolution</w:t>
            </w:r>
          </w:p>
        </w:tc>
      </w:tr>
      <w:tr>
        <w:tc>
          <w:tcPr/>
          <w:p>
            <w:pPr>
              <w:pStyle w:val="Compact"/>
            </w:pPr>
            <w:r>
              <w:t xml:space="preserve">Vol I Book 06 — Federal Telecommunications Modernization</w:t>
            </w:r>
          </w:p>
        </w:tc>
        <w:tc>
          <w:tcPr/>
          <w:p>
            <w:pPr>
              <w:pStyle w:val="Compact"/>
            </w:pPr>
            <w:r>
              <w:t xml:space="preserve">Vol I Book 06: Amazon Connect N8NN, Teams Phone, SD-WAN/SASE, G.114 compliance, TIC 3.0 lawful local breakout, DIA vs. SASE distinction</w:t>
            </w:r>
          </w:p>
        </w:tc>
      </w:tr>
      <w:tr>
        <w:tc>
          <w:tcPr/>
          <w:p>
            <w:pPr>
              <w:pStyle w:val="Compact"/>
            </w:pPr>
            <w:r>
              <w:t xml:space="preserve">Vol I Book 07 — Network Enforcement Substrate</w:t>
            </w:r>
          </w:p>
        </w:tc>
        <w:tc>
          <w:tcPr/>
          <w:p>
            <w:pPr>
              <w:pStyle w:val="Compact"/>
            </w:pPr>
            <w:r>
              <w:t xml:space="preserve">Vol I Book 07 (extension book): how customer-owned network gear (Cisco, Palo Alto, Juniper) closes NIST controls, and the NIAP / DISA STIG / FIPS 140-3 / DoDIN APL accreditation gate that governs it</w:t>
            </w:r>
          </w:p>
        </w:tc>
      </w:tr>
      <w:tr>
        <w:tc>
          <w:tcPr/>
          <w:p>
            <w:pPr>
              <w:pStyle w:val="Compact"/>
            </w:pPr>
            <w:r>
              <w:t xml:space="preserve">Vol II Book 01 — SQL Server Authentication Modernization</w:t>
            </w:r>
          </w:p>
        </w:tc>
        <w:tc>
          <w:tcPr/>
          <w:p>
            <w:pPr>
              <w:pStyle w:val="Compact"/>
            </w:pPr>
            <w:r>
              <w:t xml:space="preserve">Vol II Book 01: Arc Managed Identity, Kerberos/NTLM breakdown, login migration, application chain, NIST closure</w:t>
            </w:r>
          </w:p>
        </w:tc>
      </w:tr>
      <w:tr>
        <w:tc>
          <w:tcPr/>
          <w:p>
            <w:pPr>
              <w:pStyle w:val="Compact"/>
            </w:pPr>
            <w:r>
              <w:t xml:space="preserve">Vol II Book 02 — SQL Server Implementation Guide</w:t>
            </w:r>
          </w:p>
        </w:tc>
        <w:tc>
          <w:tcPr/>
          <w:p>
            <w:pPr>
              <w:pStyle w:val="Compact"/>
            </w:pPr>
            <w:r>
              <w:t xml:space="preserve">Vol II Book 02: 10-book runbook — estate discovery, Arc deployment, login migration, NTLM elimination, monitoring</w:t>
            </w:r>
          </w:p>
        </w:tc>
      </w:tr>
      <w:tr>
        <w:tc>
          <w:tcPr/>
          <w:p>
            <w:pPr>
              <w:pStyle w:val="Compact"/>
            </w:pPr>
            <w:r>
              <w:t xml:space="preserve">Vol II Book 03 — Database Consolidation and Network Physics</w:t>
            </w:r>
          </w:p>
        </w:tc>
        <w:tc>
          <w:tcPr/>
          <w:p>
            <w:pPr>
              <w:pStyle w:val="Compact"/>
            </w:pPr>
            <w:r>
              <w:t xml:space="preserve">Vol II Book 03: SSOT architecture, speed-of-light floor, SD-WAN for database traffic, consistency class alignment</w:t>
            </w:r>
          </w:p>
        </w:tc>
      </w:tr>
      <w:tr>
        <w:tc>
          <w:tcPr/>
          <w:p>
            <w:pPr>
              <w:pStyle w:val="Compact"/>
            </w:pPr>
            <w:r>
              <w:t xml:space="preserve">Vol III Book 01 — Privileged Access Management</w:t>
            </w:r>
          </w:p>
        </w:tc>
        <w:tc>
          <w:tcPr/>
          <w:p>
            <w:pPr>
              <w:pStyle w:val="Compact"/>
            </w:pPr>
            <w:r>
              <w:t xml:space="preserve">Vol III Book 01: Entra PIM JIT activation, PAW architecture, AC-5/AC-6 least privilege, IA-11 re-authentication</w:t>
            </w:r>
          </w:p>
        </w:tc>
      </w:tr>
      <w:tr>
        <w:tc>
          <w:tcPr/>
          <w:p>
            <w:pPr>
              <w:pStyle w:val="Compact"/>
            </w:pPr>
            <w:r>
              <w:t xml:space="preserve">Vol III Book 02 — Vulnerability Management</w:t>
            </w:r>
          </w:p>
        </w:tc>
        <w:tc>
          <w:tcPr/>
          <w:p>
            <w:pPr>
              <w:pStyle w:val="Compact"/>
            </w:pPr>
            <w:r>
              <w:t xml:space="preserve">Vol III Book 02: Defender VM, CISA KEV integration, RA-5 continuous scanning, SI-2 flaw remediation</w:t>
            </w:r>
          </w:p>
        </w:tc>
      </w:tr>
      <w:tr>
        <w:tc>
          <w:tcPr/>
          <w:p>
            <w:pPr>
              <w:pStyle w:val="Compact"/>
            </w:pPr>
            <w:r>
              <w:t xml:space="preserve">Vol III Book 03 — Patch &amp; Systems Management</w:t>
            </w:r>
          </w:p>
        </w:tc>
        <w:tc>
          <w:tcPr/>
          <w:p>
            <w:pPr>
              <w:pStyle w:val="Compact"/>
            </w:pPr>
            <w:r>
              <w:t xml:space="preserve">Vol III Book 03 (extension book): the SI-2 / CM closure plane — flaw remediation and configuration state across Microsoft, AWS, Oracle, VMware, and Red Hat under one evidence contract</w:t>
            </w:r>
          </w:p>
        </w:tc>
      </w:tr>
      <w:tr>
        <w:tc>
          <w:tcPr/>
          <w:p>
            <w:pPr>
              <w:pStyle w:val="Compact"/>
            </w:pPr>
            <w:r>
              <w:t xml:space="preserve">Vol III Book 04 — Cloud-Native Security Posture &amp; Containers</w:t>
            </w:r>
          </w:p>
        </w:tc>
        <w:tc>
          <w:tcPr/>
          <w:p>
            <w:pPr>
              <w:pStyle w:val="Compact"/>
            </w:pPr>
            <w:r>
              <w:t xml:space="preserve">Vol III Book 04 (extension book): CSPM, CNAPP, and Kubernetes — closing the misconfiguration, exposure, and runtime gaps host scanning misses</w:t>
            </w:r>
          </w:p>
        </w:tc>
      </w:tr>
      <w:tr>
        <w:tc>
          <w:tcPr/>
          <w:p>
            <w:pPr>
              <w:pStyle w:val="Compact"/>
            </w:pPr>
            <w:r>
              <w:t xml:space="preserve">Vol III Book 05 — Data Protection (Purview + Key Vault CMK)</w:t>
            </w:r>
          </w:p>
        </w:tc>
        <w:tc>
          <w:tcPr/>
          <w:p>
            <w:pPr>
              <w:pStyle w:val="Compact"/>
            </w:pPr>
            <w:r>
              <w:t xml:space="preserve">Vol III Book 05: Purview DLP and sensitivity labels, Key Vault CMK, MP-2–5, SC-12/13/17/28, AU-10</w:t>
            </w:r>
          </w:p>
        </w:tc>
      </w:tr>
      <w:tr>
        <w:tc>
          <w:tcPr/>
          <w:p>
            <w:pPr>
              <w:pStyle w:val="Compact"/>
            </w:pPr>
            <w:r>
              <w:t xml:space="preserve">Vol III Book 06 — SIEM / XDR / Detection Engineering</w:t>
            </w:r>
          </w:p>
        </w:tc>
        <w:tc>
          <w:tcPr/>
          <w:p>
            <w:pPr>
              <w:pStyle w:val="Compact"/>
            </w:pPr>
            <w:r>
              <w:t xml:space="preserve">Vol III Book 06: Microsoft Sentinel, Defender XDR, KQL analytics, SOAR playbooks, SI-4/AU-6/IR-4/6/8</w:t>
            </w:r>
          </w:p>
        </w:tc>
      </w:tr>
      <w:tr>
        <w:tc>
          <w:tcPr/>
          <w:p>
            <w:pPr>
              <w:pStyle w:val="Compact"/>
            </w:pPr>
            <w:r>
              <w:t xml:space="preserve">Vol III Book 07 — Multi-Cloud Evidence Fabric</w:t>
            </w:r>
          </w:p>
        </w:tc>
        <w:tc>
          <w:tcPr/>
          <w:p>
            <w:pPr>
              <w:pStyle w:val="Compact"/>
            </w:pPr>
            <w:r>
              <w:t xml:space="preserve">Vol III Book 07 (extension book): the unified evidence contract — telemetry → CDM → FedRAMP 20x KSIs across every CSP, NEM, and OS</w:t>
            </w:r>
          </w:p>
        </w:tc>
      </w:tr>
      <w:tr>
        <w:tc>
          <w:tcPr/>
          <w:p>
            <w:pPr>
              <w:pStyle w:val="Compact"/>
            </w:pPr>
            <w:r>
              <w:t xml:space="preserve">Vol IV Book 01 — Business Continuity</w:t>
            </w:r>
          </w:p>
        </w:tc>
        <w:tc>
          <w:tcPr/>
          <w:p>
            <w:pPr>
              <w:pStyle w:val="Compact"/>
            </w:pPr>
            <w:r>
              <w:t xml:space="preserve">Vol IV Book 01: CP-2 through CP-8 contingency planning, DR runbooks, Azure Site Recovery</w:t>
            </w:r>
          </w:p>
        </w:tc>
      </w:tr>
      <w:tr>
        <w:tc>
          <w:tcPr/>
          <w:p>
            <w:pPr>
              <w:pStyle w:val="Compact"/>
            </w:pPr>
            <w:r>
              <w:t xml:space="preserve">Vol IV Book 02 — Supply Chain Risk Management</w:t>
            </w:r>
          </w:p>
        </w:tc>
        <w:tc>
          <w:tcPr/>
          <w:p>
            <w:pPr>
              <w:pStyle w:val="Compact"/>
            </w:pPr>
            <w:r>
              <w:t xml:space="preserve">Vol IV Book 02: Syft CycloneDX SBOM pipeline (EO 14028 §4 / SR-family), Grype vulnerability scan + OpenVEX, GitHub Actions BOD 26-04 remediation-SLA gate, SR-family closure</w:t>
            </w:r>
          </w:p>
        </w:tc>
      </w:tr>
      <w:tr>
        <w:tc>
          <w:tcPr/>
          <w:p>
            <w:pPr>
              <w:pStyle w:val="Compact"/>
            </w:pPr>
            <w:r>
              <w:t xml:space="preserve">Vol IV Book 03 — Program Management and Governance</w:t>
            </w:r>
          </w:p>
        </w:tc>
        <w:tc>
          <w:tcPr/>
          <w:p>
            <w:pPr>
              <w:pStyle w:val="Compact"/>
            </w:pPr>
            <w:r>
              <w:t xml:space="preserve">Vol IV Book 03: ISPP template, POA&amp;M tracker, SCRM Charter, Leadership RACI matrix, PM-family closure</w:t>
            </w:r>
          </w:p>
        </w:tc>
      </w:tr>
      <w:tr>
        <w:tc>
          <w:tcPr/>
          <w:p>
            <w:pPr>
              <w:pStyle w:val="Compact"/>
            </w:pPr>
            <w:r>
              <w:t xml:space="preserve">Vol IV Book 04 — PII Processing and Transparency</w:t>
            </w:r>
          </w:p>
        </w:tc>
        <w:tc>
          <w:tcPr/>
          <w:p>
            <w:pPr>
              <w:pStyle w:val="Compact"/>
            </w:pPr>
            <w:r>
              <w:t xml:space="preserve">Vol IV Book 04: Privacy Program Plan, authority-to-process templates, SORN/PIA scaffolding, Purview Data Map, PT-family closure</w:t>
            </w:r>
          </w:p>
        </w:tc>
      </w:tr>
      <w:tr>
        <w:tc>
          <w:tcPr/>
          <w:p>
            <w:pPr>
              <w:pStyle w:val="Compact"/>
            </w:pPr>
            <w:r>
              <w:t xml:space="preserve">Vol IV Book 05 — Cybersecurity Awareness and Training</w:t>
            </w:r>
          </w:p>
        </w:tc>
        <w:tc>
          <w:tcPr/>
          <w:p>
            <w:pPr>
              <w:pStyle w:val="Compact"/>
            </w:pPr>
            <w:r>
              <w:t xml:space="preserve">Vol IV Book 05: AT-2/AT-3/AT-4 training program, role-based matrices for six tiers, LMS evidence schema, CP-3 tabletop calendar, IR-2 drill documentation, KSI-022 activation</w:t>
            </w:r>
          </w:p>
        </w:tc>
      </w:tr>
      <w:tr>
        <w:tc>
          <w:tcPr/>
          <w:p>
            <w:pPr>
              <w:pStyle w:val="Compact"/>
            </w:pPr>
            <w:r>
              <w:t xml:space="preserve">Vol IV Book 06 — Authorization Package and ConMon</w:t>
            </w:r>
          </w:p>
        </w:tc>
        <w:tc>
          <w:tcPr/>
          <w:p>
            <w:pPr>
              <w:pStyle w:val="Compact"/>
            </w:pPr>
            <w:r>
              <w:t xml:space="preserve">Vol IV Book 06: authorization package structure, OSCAL AP+AR+POA&amp;M bundle (29/29 self-assessed, pending independent SCA), CA-7 ConMon program, FedRAMP VDR/VER submission (NTC-0014), AO authorization checklist, authorization-decision procedure</w:t>
            </w:r>
          </w:p>
        </w:tc>
      </w:tr>
      <w:tr>
        <w:tc>
          <w:tcPr/>
          <w:p>
            <w:pPr>
              <w:pStyle w:val="Compact"/>
            </w:pPr>
            <w:r>
              <w:t xml:space="preserve">Vol V Book 00 — Training &amp; Certification (Volume Overview)</w:t>
            </w:r>
          </w:p>
        </w:tc>
        <w:tc>
          <w:tcPr/>
          <w:p>
            <w:pPr>
              <w:pStyle w:val="Compact"/>
            </w:pPr>
            <w:r>
              <w:t xml:space="preserve">Vol V Book 00: the enablement volume — the two-track model, the 10-of-29 coverage-gap thesis, and training as a control (AT-2/AT-3, KSI-CED)</w:t>
            </w:r>
          </w:p>
        </w:tc>
      </w:tr>
      <w:tr>
        <w:tc>
          <w:tcPr/>
          <w:p>
            <w:pPr>
              <w:pStyle w:val="Compact"/>
            </w:pPr>
            <w:r>
              <w:t xml:space="preserve">Vol V Book 01 — The Compliance Track</w:t>
            </w:r>
          </w:p>
        </w:tc>
        <w:tc>
          <w:tcPr/>
          <w:p>
            <w:pPr>
              <w:pStyle w:val="Compact"/>
            </w:pPr>
            <w:r>
              <w:t xml:space="preserve">Vol V Book 01: the eight evidence slots as curriculum — book → control → KSI → evidence, modules A0–A8, the eight-slot-walk capstone</w:t>
            </w:r>
          </w:p>
        </w:tc>
      </w:tr>
      <w:tr>
        <w:tc>
          <w:tcPr/>
          <w:p>
            <w:pPr>
              <w:pStyle w:val="Compact"/>
            </w:pPr>
            <w:r>
              <w:t xml:space="preserve">Vol V Book 02 — The Implementation Track</w:t>
            </w:r>
          </w:p>
        </w:tc>
        <w:tc>
          <w:tcPr/>
          <w:p>
            <w:pPr>
              <w:pStyle w:val="Compact"/>
            </w:pPr>
            <w:r>
              <w:t xml:space="preserve">Vol V Book 02: eight engineering modules (B1–B8), build-and-land-evidence, labs as worked exercises</w:t>
            </w:r>
          </w:p>
        </w:tc>
      </w:tr>
      <w:tr>
        <w:tc>
          <w:tcPr/>
          <w:p>
            <w:pPr>
              <w:pStyle w:val="Compact"/>
            </w:pPr>
            <w:r>
              <w:t xml:space="preserve">Vol V Book 03 — Assessment, Rubrics &amp; Certification</w:t>
            </w:r>
          </w:p>
        </w:tc>
        <w:tc>
          <w:tcPr/>
          <w:p>
            <w:pPr>
              <w:pStyle w:val="Compact"/>
            </w:pPr>
            <w:r>
              <w:t xml:space="preserve">Vol V Book 03: the four-level rubric ladder, capstone scoring, the KSI Closure Necessity Matrix as exam, and the Compliance Practitioner / Assessor credentials</w:t>
            </w:r>
          </w:p>
        </w:tc>
      </w:tr>
      <w:tr>
        <w:tc>
          <w:tcPr/>
          <w:p>
            <w:pPr>
              <w:pStyle w:val="Compact"/>
            </w:pPr>
            <w:r>
              <w:t xml:space="preserve">Vol V Book 04 — Vendor Training &amp; Lab Environments</w:t>
            </w:r>
          </w:p>
        </w:tc>
        <w:tc>
          <w:tcPr/>
          <w:p>
            <w:pPr>
              <w:pStyle w:val="Compact"/>
            </w:pPr>
            <w:r>
              <w:t xml:space="preserve">Vol V Book 04: external courses mapped per volume, and the fixture / trial-tenant / product-eval lab environments (Theme F realization layer)</w:t>
            </w:r>
          </w:p>
        </w:tc>
      </w:tr>
      <w:tr>
        <w:tc>
          <w:tcPr/>
          <w:p>
            <w:pPr>
              <w:pStyle w:val="Compact"/>
            </w:pPr>
            <w:r>
              <w:t xml:space="preserve">Vol VI Book 00 — Implementation (Overview)</w:t>
            </w:r>
          </w:p>
        </w:tc>
        <w:tc>
          <w:tcPr/>
          <w:p>
            <w:pPr>
              <w:pStyle w:val="Compact"/>
            </w:pPr>
            <w:r>
              <w:t xml:space="preserve">Vol VI Book 00: the deployable layer — architecture operationalized as code; CM-2/CM-3 deploy discipline</w:t>
            </w:r>
          </w:p>
        </w:tc>
      </w:tr>
      <w:tr>
        <w:tc>
          <w:tcPr/>
          <w:p>
            <w:pPr>
              <w:pStyle w:val="Compact"/>
            </w:pPr>
            <w:r>
              <w:t xml:space="preserve">Vol VI Book 01 — Landing Zone &amp; Network as Code</w:t>
            </w:r>
          </w:p>
        </w:tc>
        <w:tc>
          <w:tcPr/>
          <w:p>
            <w:pPr>
              <w:pStyle w:val="Compact"/>
            </w:pPr>
            <w:r>
              <w:t xml:space="preserve">Vol VI Book 01: SC-7/SC-20/21/22, CM-8, AC-4 as reviewable Terraform/Bicep</w:t>
            </w:r>
          </w:p>
        </w:tc>
      </w:tr>
      <w:tr>
        <w:tc>
          <w:tcPr/>
          <w:p>
            <w:pPr>
              <w:pStyle w:val="Compact"/>
            </w:pPr>
            <w:r>
              <w:t xml:space="preserve">Vol VI Book 02 — Identity &amp; Access as Code</w:t>
            </w:r>
          </w:p>
        </w:tc>
        <w:tc>
          <w:tcPr/>
          <w:p>
            <w:pPr>
              <w:pStyle w:val="Compact"/>
            </w:pPr>
            <w:r>
              <w:t xml:space="preserve">Vol VI Book 02: AC-2/5/6, IA-2/3/5/11, SC-17 as policy-as-code</w:t>
            </w:r>
          </w:p>
        </w:tc>
      </w:tr>
      <w:tr>
        <w:tc>
          <w:tcPr/>
          <w:p>
            <w:pPr>
              <w:pStyle w:val="Compact"/>
            </w:pPr>
            <w:r>
              <w:t xml:space="preserve">Vol VI Book 03 — Detection Engineering</w:t>
            </w:r>
          </w:p>
        </w:tc>
        <w:tc>
          <w:tcPr/>
          <w:p>
            <w:pPr>
              <w:pStyle w:val="Compact"/>
            </w:pPr>
            <w:r>
              <w:t xml:space="preserve">Vol VI Book 03: AU-6, SI-4, AC-7/AC-12 — the Sentinel KQL analytics rule library</w:t>
            </w:r>
          </w:p>
        </w:tc>
      </w:tr>
      <w:tr>
        <w:tc>
          <w:tcPr/>
          <w:p>
            <w:pPr>
              <w:pStyle w:val="Compact"/>
            </w:pPr>
            <w:r>
              <w:t xml:space="preserve">Vol VI Book 04 — Response Automation (SOAR)</w:t>
            </w:r>
          </w:p>
        </w:tc>
        <w:tc>
          <w:tcPr/>
          <w:p>
            <w:pPr>
              <w:pStyle w:val="Compact"/>
            </w:pPr>
            <w:r>
              <w:t xml:space="preserve">Vol VI Book 04: IR-4/6, AC-12, AC-2(13) — the SOAR playbook library</w:t>
            </w:r>
          </w:p>
        </w:tc>
      </w:tr>
      <w:tr>
        <w:tc>
          <w:tcPr/>
          <w:p>
            <w:pPr>
              <w:pStyle w:val="Compact"/>
            </w:pPr>
            <w:r>
              <w:t xml:space="preserve">Vol VI Book 05 — Data Protection Deployment</w:t>
            </w:r>
          </w:p>
        </w:tc>
        <w:tc>
          <w:tcPr/>
          <w:p>
            <w:pPr>
              <w:pStyle w:val="Compact"/>
            </w:pPr>
            <w:r>
              <w:t xml:space="preserve">Vol VI Book 05: MP-2–5, SC-12/17/28, AU-10 deployment (Purview, Key Vault)</w:t>
            </w:r>
          </w:p>
        </w:tc>
      </w:tr>
      <w:tr>
        <w:tc>
          <w:tcPr/>
          <w:p>
            <w:pPr>
              <w:pStyle w:val="Compact"/>
            </w:pPr>
            <w:r>
              <w:t xml:space="preserve">Vol VI Book 06 — Configuration Baselines &amp; Hardening</w:t>
            </w:r>
          </w:p>
        </w:tc>
        <w:tc>
          <w:tcPr/>
          <w:p>
            <w:pPr>
              <w:pStyle w:val="Compact"/>
            </w:pPr>
            <w:r>
              <w:t xml:space="preserve">Vol VI Book 06: CM-2/3/6/7, SI-2 baselines and hardening</w:t>
            </w:r>
          </w:p>
        </w:tc>
      </w:tr>
      <w:tr>
        <w:tc>
          <w:tcPr/>
          <w:p>
            <w:pPr>
              <w:pStyle w:val="Compact"/>
            </w:pPr>
            <w:r>
              <w:t xml:space="preserve">Vol VI Book 07 — Evidence &amp; ConMon Pipeline</w:t>
            </w:r>
          </w:p>
        </w:tc>
        <w:tc>
          <w:tcPr/>
          <w:p>
            <w:pPr>
              <w:pStyle w:val="Compact"/>
            </w:pPr>
            <w:r>
              <w:t xml:space="preserve">Vol VI Book 07: AU-6/12, CA-5/7 — the evidence/ConMon pipeline deployment (OSCAL emitter)</w:t>
            </w:r>
          </w:p>
        </w:tc>
      </w:tr>
      <w:tr>
        <w:tc>
          <w:tcPr/>
          <w:p>
            <w:pPr>
              <w:pStyle w:val="Compact"/>
            </w:pPr>
            <w:r>
              <w:t xml:space="preserve">Vol VI Book 08 — Validation &amp; Test Harnesses</w:t>
            </w:r>
          </w:p>
        </w:tc>
        <w:tc>
          <w:tcPr/>
          <w:p>
            <w:pPr>
              <w:pStyle w:val="Compact"/>
            </w:pPr>
            <w:r>
              <w:t xml:space="preserve">Vol VI Book 08: CA-2/7, SI-4 — conformance validation and test harnesses</w:t>
            </w:r>
          </w:p>
        </w:tc>
      </w:tr>
      <w:tr>
        <w:tc>
          <w:tcPr/>
          <w:p>
            <w:pPr>
              <w:pStyle w:val="Compact"/>
            </w:pPr>
            <w:r>
              <w:t xml:space="preserve">Vol VII Book 00 — ServiceNow Automation (Overview)</w:t>
            </w:r>
          </w:p>
        </w:tc>
        <w:tc>
          <w:tcPr/>
          <w:p>
            <w:pPr>
              <w:pStyle w:val="Compact"/>
            </w:pPr>
            <w:r>
              <w:t xml:space="preserve">Vol VII Book 00: the coordination layer — ServiceNow (Gov) + in-boundary MID Server; CMDB reconciled to IPAM/DDI, actuation platform-native</w:t>
            </w:r>
          </w:p>
        </w:tc>
      </w:tr>
      <w:tr>
        <w:tc>
          <w:tcPr/>
          <w:p>
            <w:pPr>
              <w:pStyle w:val="Compact"/>
            </w:pPr>
            <w:r>
              <w:t xml:space="preserve">Vol VII Book 01 — CMDB Reconciliation &amp; Asset Identity</w:t>
            </w:r>
          </w:p>
        </w:tc>
        <w:tc>
          <w:tcPr/>
          <w:p>
            <w:pPr>
              <w:pStyle w:val="Compact"/>
            </w:pPr>
            <w:r>
              <w:t xml:space="preserve">Vol VII Book 01: CM-8 (reconciled to the IPAM/DDI join key), CM-3 change gate</w:t>
            </w:r>
          </w:p>
        </w:tc>
      </w:tr>
      <w:tr>
        <w:tc>
          <w:tcPr/>
          <w:p>
            <w:pPr>
              <w:pStyle w:val="Compact"/>
            </w:pPr>
            <w:r>
              <w:t xml:space="preserve">Vol VII Book 02 — M365 Control-Compliance Automation</w:t>
            </w:r>
          </w:p>
        </w:tc>
        <w:tc>
          <w:tcPr/>
          <w:p>
            <w:pPr>
              <w:pStyle w:val="Compact"/>
            </w:pPr>
            <w:r>
              <w:t xml:space="preserve">Vol VII Book 02: CM-6, AC-2, CA-7 — SCuBA/baseline drift → tracked task → KSI feed</w:t>
            </w:r>
          </w:p>
        </w:tc>
      </w:tr>
      <w:tr>
        <w:tc>
          <w:tcPr/>
          <w:p>
            <w:pPr>
              <w:pStyle w:val="Compact"/>
            </w:pPr>
            <w:r>
              <w:t xml:space="preserve">Vol VII Book 03 — Azure Control-Compliance Automation</w:t>
            </w:r>
          </w:p>
        </w:tc>
        <w:tc>
          <w:tcPr/>
          <w:p>
            <w:pPr>
              <w:pStyle w:val="Compact"/>
            </w:pPr>
            <w:r>
              <w:t xml:space="preserve">Vol VII Book 03: CM-6, SI-2, RA-5 — Azure Policy/Defender findings → ServiceNow remediation</w:t>
            </w:r>
          </w:p>
        </w:tc>
      </w:tr>
      <w:tr>
        <w:tc>
          <w:tcPr/>
          <w:p>
            <w:pPr>
              <w:pStyle w:val="Compact"/>
            </w:pPr>
            <w:r>
              <w:t xml:space="preserve">Vol VII Book 04 — Control Attestation, Evidence &amp; KSI</w:t>
            </w:r>
          </w:p>
        </w:tc>
        <w:tc>
          <w:tcPr/>
          <w:p>
            <w:pPr>
              <w:pStyle w:val="Compact"/>
            </w:pPr>
            <w:r>
              <w:t xml:space="preserve">Vol VII Book 04: CA-2, CA-5, CA-7 — IRM/GRC control tests + POA&amp;M → OSCAL/KSI evidence</w:t>
            </w:r>
          </w:p>
        </w:tc>
      </w:tr>
      <w:tr>
        <w:tc>
          <w:tcPr/>
          <w:p>
            <w:pPr>
              <w:pStyle w:val="Compact"/>
            </w:pPr>
            <w:r>
              <w:t xml:space="preserve">Vol VII Book 05 — The ServiceNow Compliance App</w:t>
            </w:r>
          </w:p>
        </w:tc>
        <w:tc>
          <w:tcPr/>
          <w:p>
            <w:pPr>
              <w:pStyle w:val="Compact"/>
            </w:pPr>
            <w:r>
              <w:t xml:space="preserve">Vol VII Book 05: the scoped app — Flows, ATF tests, Update Set</w:t>
            </w:r>
          </w:p>
        </w:tc>
      </w:tr>
      <w:tr>
        <w:tc>
          <w:tcPr/>
          <w:p>
            <w:pPr>
              <w:pStyle w:val="Compact"/>
            </w:pPr>
            <w:r>
              <w:t xml:space="preserve">Vol IX Book 05 — SaaS Integration Governance</w:t>
            </w:r>
          </w:p>
        </w:tc>
        <w:tc>
          <w:tcPr/>
          <w:p>
            <w:pPr>
              <w:pStyle w:val="Compact"/>
            </w:pPr>
            <w:r>
              <w:t xml:space="preserve">Vol IX Book 05: onboarding a third-party SaaS as the governed SA-9 event that closes 24 controls — verify authorization, then configure, never the reverse</w:t>
            </w:r>
          </w:p>
        </w:tc>
      </w:tr>
      <w:tr>
        <w:tc>
          <w:tcPr/>
          <w:p>
            <w:pPr>
              <w:pStyle w:val="Compact"/>
            </w:pPr>
            <w:r>
              <w:t xml:space="preserve">Vol VIII Book 00 — Multi-Cloud DDI Landing-Zone Automation (Overview)</w:t>
            </w:r>
          </w:p>
        </w:tc>
        <w:tc>
          <w:tcPr/>
          <w:p>
            <w:pPr>
              <w:pStyle w:val="Compact"/>
            </w:pPr>
            <w:r>
              <w:t xml:space="preserve">Vol VIII Book 00: SC-20/22, CM-8, CM-3/CM-5, AU-2 across Azure/AWS/GCP/OCI/VMware — the InfoBlox DDI kit (multi-CSP exception); full chapters in</w:t>
            </w:r>
            <w:r>
              <w:t xml:space="preserve"> </w:t>
            </w:r>
            <w:r>
              <w:rPr>
                <w:rStyle w:val="VerbatimChar"/>
              </w:rPr>
              <w:t xml:space="preserve">infoblox-ddi-book/</w:t>
            </w:r>
          </w:p>
        </w:tc>
      </w:tr>
      <w:tr>
        <w:tc>
          <w:tcPr/>
          <w:p>
            <w:pPr>
              <w:pStyle w:val="Compact"/>
            </w:pPr>
            <w:r>
              <w:t xml:space="preserve">Vol IX Book 00 — Day-2 Operations (Overview)</w:t>
            </w:r>
          </w:p>
        </w:tc>
        <w:tc>
          <w:tcPr/>
          <w:p>
            <w:pPr>
              <w:pStyle w:val="Compact"/>
            </w:pPr>
            <w:r>
              <w:t xml:space="preserve">Vol IX Book 00: the governed day-2 catalog — same discipline as Vol VII, reconciled to CM-8</w:t>
            </w:r>
          </w:p>
        </w:tc>
      </w:tr>
      <w:tr>
        <w:tc>
          <w:tcPr/>
          <w:p>
            <w:pPr>
              <w:pStyle w:val="Compact"/>
            </w:pPr>
            <w:r>
              <w:t xml:space="preserve">Vol IX Book 01 — Helpdesk &amp; ITSM Catalog</w:t>
            </w:r>
          </w:p>
        </w:tc>
        <w:tc>
          <w:tcPr/>
          <w:p>
            <w:pPr>
              <w:pStyle w:val="Compact"/>
            </w:pPr>
            <w:r>
              <w:t xml:space="preserve">Vol IX Book 01: AC-2, IA-5, AC-6 as governed catalog items over Entra/M365/Azure</w:t>
            </w:r>
          </w:p>
        </w:tc>
      </w:tr>
      <w:tr>
        <w:tc>
          <w:tcPr/>
          <w:p>
            <w:pPr>
              <w:pStyle w:val="Compact"/>
            </w:pPr>
            <w:r>
              <w:t xml:space="preserve">Vol IX Book 02 — Landing Zone Front Door</w:t>
            </w:r>
          </w:p>
        </w:tc>
        <w:tc>
          <w:tcPr/>
          <w:p>
            <w:pPr>
              <w:pStyle w:val="Compact"/>
            </w:pPr>
            <w:r>
              <w:t xml:space="preserve">Vol IX Book 02: CM-2, CM-8, CM-3 — catalog → IaC → CMDB, reconciled to IPAM/DDI</w:t>
            </w:r>
          </w:p>
        </w:tc>
      </w:tr>
      <w:tr>
        <w:tc>
          <w:tcPr/>
          <w:p>
            <w:pPr>
              <w:pStyle w:val="Compact"/>
            </w:pPr>
            <w:r>
              <w:t xml:space="preserve">Vol IX Book 03 — App Registration Governance</w:t>
            </w:r>
          </w:p>
        </w:tc>
        <w:tc>
          <w:tcPr/>
          <w:p>
            <w:pPr>
              <w:pStyle w:val="Compact"/>
            </w:pPr>
            <w:r>
              <w:t xml:space="preserve">Vol IX Book 03: IA-5(2), SC-17, AC-6 — short-lived app credentials, scoped consent, orphan attestation</w:t>
            </w:r>
          </w:p>
        </w:tc>
      </w:tr>
      <w:tr>
        <w:tc>
          <w:tcPr/>
          <w:p>
            <w:pPr>
              <w:pStyle w:val="Compact"/>
            </w:pPr>
            <w:r>
              <w:t xml:space="preserve">Vol IX Book 04 — Teams Telephony Catalog &amp; SCuBA Drift</w:t>
            </w:r>
          </w:p>
        </w:tc>
        <w:tc>
          <w:tcPr/>
          <w:p>
            <w:pPr>
              <w:pStyle w:val="Compact"/>
            </w:pPr>
            <w:r>
              <w:t xml:space="preserve">Vol IX Book 04: CM-3, CM-6, AU-2 — number/routing changes with E911 validation; Teams SCuBA drift into the M365 loop</w:t>
            </w:r>
          </w:p>
        </w:tc>
      </w:tr>
      <w:tr>
        <w:tc>
          <w:tcPr/>
          <w:p>
            <w:pPr>
              <w:pStyle w:val="Compact"/>
            </w:pPr>
            <w:r>
              <w:t xml:space="preserve">Vol IX Book 06 — Identity &amp; Access Governance</w:t>
            </w:r>
          </w:p>
        </w:tc>
        <w:tc>
          <w:tcPr/>
          <w:p>
            <w:pPr>
              <w:pStyle w:val="Compact"/>
            </w:pPr>
            <w:r>
              <w:t xml:space="preserve">Vol IX Book 06: AC-2, AC-5, AC-6, IA-4, IA-5, AU-2 — event-driven JML, certification campaigns, IAM evidence (Kit Phase 2, gated)</w:t>
            </w:r>
          </w:p>
        </w:tc>
      </w:tr>
      <w:tr>
        <w:tc>
          <w:tcPr/>
          <w:p>
            <w:pPr>
              <w:pStyle w:val="Compact"/>
            </w:pPr>
            <w:r>
              <w:t xml:space="preserve">Vol X Book 00 — Governance-Substrate Integration</w:t>
            </w:r>
          </w:p>
        </w:tc>
        <w:tc>
          <w:tcPr/>
          <w:p>
            <w:pPr>
              <w:pStyle w:val="Compact"/>
            </w:pPr>
            <w:r>
              <w:t xml:space="preserve">Vol X Book 00: the optional integration layer — conformance mapping, surface slots, evidence contract; no new control closures</w:t>
            </w:r>
          </w:p>
        </w:tc>
      </w:tr>
      <w:tr>
        <w:tc>
          <w:tcPr/>
          <w:p>
            <w:pPr>
              <w:pStyle w:val="Compact"/>
            </w:pPr>
            <w:r>
              <w:t xml:space="preserve">NIST SP 800-53 Rev 5</w:t>
            </w:r>
          </w:p>
        </w:tc>
        <w:tc>
          <w:tcPr/>
          <w:p>
            <w:pPr>
              <w:pStyle w:val="Compact"/>
            </w:pPr>
            <w:r>
              <w:t xml:space="preserve">Security and Privacy Controls for Information Systems and Organizations</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OMB M-22-09</w:t>
            </w:r>
          </w:p>
        </w:tc>
        <w:tc>
          <w:tcPr/>
          <w:p>
            <w:pPr>
              <w:pStyle w:val="Compact"/>
            </w:pPr>
            <w:r>
              <w:t xml:space="preserve">Moving the U.S. Government Toward Zero Trust Cybersecurity Principles</w:t>
            </w:r>
          </w:p>
        </w:tc>
      </w:tr>
      <w:tr>
        <w:tc>
          <w:tcPr/>
          <w:p>
            <w:pPr>
              <w:pStyle w:val="Compact"/>
            </w:pPr>
            <w:r>
              <w:t xml:space="preserve">FedRAMP 20x Consolidated Rules (June 25, 2026)</w:t>
            </w:r>
          </w:p>
        </w:tc>
        <w:tc>
          <w:tcPr/>
          <w:p>
            <w:pPr>
              <w:pStyle w:val="Compact"/>
            </w:pPr>
            <w:r>
              <w:t xml:space="preserve">Machine-readable KSI framework; Class A opens August 3, 2026; Class B/C opens August 31, 2026</w:t>
            </w:r>
          </w:p>
        </w:tc>
      </w:tr>
      <w:tr>
        <w:tc>
          <w:tcPr/>
          <w:p>
            <w:pPr>
              <w:pStyle w:val="Compact"/>
            </w:pPr>
            <w:r>
              <w:t xml:space="preserve">CISA Zero Trust Maturity Model v2.0</w:t>
            </w:r>
          </w:p>
        </w:tc>
        <w:tc>
          <w:tcPr/>
          <w:p>
            <w:pPr>
              <w:pStyle w:val="Compact"/>
            </w:pPr>
            <w:r>
              <w:t xml:space="preserve">Identity, Devices, Networks, Applications, Data pillar maturity progression</w:t>
            </w:r>
          </w:p>
        </w:tc>
      </w:tr>
      <w:tr>
        <w:tc>
          <w:tcPr/>
          <w:p>
            <w:pPr>
              <w:pStyle w:val="Compact"/>
            </w:pPr>
            <w:r>
              <w:t xml:space="preserve">EO 14028</w:t>
            </w:r>
          </w:p>
        </w:tc>
        <w:tc>
          <w:tcPr/>
          <w:p>
            <w:pPr>
              <w:pStyle w:val="Compact"/>
            </w:pPr>
            <w:r>
              <w:t xml:space="preserve">Improving the Nation’s Cybersecurity (May 12, 2021)</w:t>
            </w:r>
          </w:p>
        </w:tc>
      </w:tr>
      <w:tr>
        <w:tc>
          <w:tcPr/>
          <w:p>
            <w:pPr>
              <w:pStyle w:val="Compact"/>
            </w:pPr>
            <w:r>
              <w:t xml:space="preserve">ITU-T G.114</w:t>
            </w:r>
          </w:p>
        </w:tc>
        <w:tc>
          <w:tcPr/>
          <w:p>
            <w:pPr>
              <w:pStyle w:val="Compact"/>
            </w:pPr>
            <w:r>
              <w:t xml:space="preserve">One-Way Transmission Time — 150ms maximum one-way voice delay</w:t>
            </w:r>
          </w:p>
        </w:tc>
      </w:tr>
    </w:tbl>
    <w:bookmarkEnd w:id="81"/>
    <w:bookmarkStart w:id="89" w:name="X32386258b39d3cf010925ec1149de8ba9c4c847"/>
    <w:p>
      <w:pPr>
        <w:pStyle w:val="Heading1"/>
      </w:pPr>
      <w:r>
        <w:t xml:space="preserve">Vol 0 Book 00a — Federal Compliance — Executive Brief</w:t>
      </w:r>
    </w:p>
    <w:p>
      <w:pPr>
        <w:pStyle w:val="FirstParagraph"/>
      </w:pPr>
      <w:r>
        <w:rPr>
          <w:b/>
          <w:bCs/>
        </w:rPr>
        <w:t xml:space="preserve">Read this first. It is the two-page brief.</w:t>
      </w:r>
      <w:r>
        <w:t xml:space="preserve"> </w:t>
      </w:r>
      <w:r>
        <w:t xml:space="preserve">The technical body — the per-book</w:t>
      </w:r>
      <w:r>
        <w:t xml:space="preserve"> </w:t>
      </w:r>
      <w:r>
        <w:t xml:space="preserve">NIST SP 800-53 control-closure tables — lives in</w:t>
      </w:r>
      <w:r>
        <w:t xml:space="preserve"> </w:t>
      </w:r>
      <w:r>
        <w:rPr>
          <w:b/>
          <w:bCs/>
        </w:rPr>
        <w:t xml:space="preserve">Vol 0 Book 00 (the Executive</w:t>
      </w:r>
      <w:r>
        <w:rPr>
          <w:b/>
          <w:bCs/>
        </w:rPr>
        <w:t xml:space="preserve"> </w:t>
      </w:r>
      <w:r>
        <w:rPr>
          <w:b/>
          <w:bCs/>
        </w:rPr>
        <w:t xml:space="preserve">Summary / technical compendium)</w:t>
      </w:r>
      <w:r>
        <w:t xml:space="preserve">. This brief carries only the thesis, the</w:t>
      </w:r>
      <w:r>
        <w:t xml:space="preserve"> </w:t>
      </w:r>
      <w:r>
        <w:t xml:space="preserve">deadlines that bind, the decisions we need, and what inaction costs.</w:t>
      </w:r>
    </w:p>
    <w:p>
      <w:pPr>
        <w:pStyle w:val="BodyText"/>
      </w:pPr>
      <w:r>
        <w:rPr>
          <w:b/>
          <w:bCs/>
        </w:rPr>
        <w:t xml:space="preserve">Date Code:</w:t>
      </w:r>
      <w:r>
        <w:t xml:space="preserve"> </w:t>
      </w:r>
      <w:r>
        <w:t xml:space="preserve">2026-07-19 20:10 ET</w:t>
      </w:r>
    </w:p>
    <w:bookmarkStart w:id="82" w:name="the-thesis-in-one-paragraph"/>
    <w:p>
      <w:pPr>
        <w:pStyle w:val="Heading2"/>
      </w:pPr>
      <w:r>
        <w:t xml:space="preserve">The thesis, in one paragraph</w:t>
      </w:r>
    </w:p>
    <w:p>
      <w:pPr>
        <w:pStyle w:val="FirstParagraph"/>
      </w:pPr>
      <w:r>
        <w:t xml:space="preserve">Agency’s federal compliance debt is</w:t>
      </w:r>
      <w:r>
        <w:t xml:space="preserve"> </w:t>
      </w:r>
      <w:r>
        <w:rPr>
          <w:b/>
          <w:bCs/>
        </w:rPr>
        <w:t xml:space="preserve">not a resource shortage — it is an</w:t>
      </w:r>
      <w:r>
        <w:rPr>
          <w:b/>
          <w:bCs/>
        </w:rPr>
        <w:t xml:space="preserve"> </w:t>
      </w:r>
      <w:r>
        <w:rPr>
          <w:b/>
          <w:bCs/>
        </w:rPr>
        <w:t xml:space="preserve">architectural pattern mismatch.</w:t>
      </w:r>
      <w:r>
        <w:t xml:space="preserve"> </w:t>
      </w:r>
      <w:r>
        <w:t xml:space="preserve">The estate was built for a world where compute,</w:t>
      </w:r>
      <w:r>
        <w:t xml:space="preserve"> </w:t>
      </w:r>
      <w:r>
        <w:t xml:space="preserve">identity, and communication sat inside a perimeter; the controls now required</w:t>
      </w:r>
      <w:r>
        <w:t xml:space="preserve"> </w:t>
      </w:r>
      <w:r>
        <w:t xml:space="preserve">under Executive Order 14028, OMB M-22-09, TIC 3.0, and the FedRAMP 20x</w:t>
      </w:r>
      <w:r>
        <w:t xml:space="preserve"> </w:t>
      </w:r>
      <w:r>
        <w:t xml:space="preserve">Consolidated Rules (CR26) cannot be satisfied by a perimeter architecture at any</w:t>
      </w:r>
      <w:r>
        <w:t xml:space="preserve"> </w:t>
      </w:r>
      <w:r>
        <w:t xml:space="preserve">budget. The implementations in this series are therefore</w:t>
      </w:r>
      <w:r>
        <w:t xml:space="preserve"> </w:t>
      </w:r>
      <w:r>
        <w:rPr>
          <w:b/>
          <w:bCs/>
        </w:rPr>
        <w:t xml:space="preserve">structural</w:t>
      </w:r>
      <w:r>
        <w:rPr>
          <w:b/>
          <w:bCs/>
        </w:rPr>
        <w:t xml:space="preserve"> </w:t>
      </w:r>
      <w:r>
        <w:rPr>
          <w:b/>
          <w:bCs/>
        </w:rPr>
        <w:t xml:space="preserve">prerequisites for an agency Moderate authorization whose evidence survives the</w:t>
      </w:r>
      <w:r>
        <w:rPr>
          <w:b/>
          <w:bCs/>
        </w:rPr>
        <w:t xml:space="preserve"> </w:t>
      </w:r>
      <w:r>
        <w:rPr>
          <w:b/>
          <w:bCs/>
        </w:rPr>
        <w:t xml:space="preserve">FedRAMP 20x transition</w:t>
      </w:r>
      <w:r>
        <w:t xml:space="preserve">, not optional modernization projects. A small number of</w:t>
      </w:r>
      <w:r>
        <w:t xml:space="preserve"> </w:t>
      </w:r>
      <w:r>
        <w:t xml:space="preserve">“truth-plane”</w:t>
      </w:r>
      <w:r>
        <w:t xml:space="preserve"> </w:t>
      </w:r>
      <w:r>
        <w:t xml:space="preserve">mechanisms — authoritative</w:t>
      </w:r>
      <w:r>
        <w:t xml:space="preserve"> </w:t>
      </w:r>
      <w:r>
        <w:rPr>
          <w:b/>
          <w:bCs/>
        </w:rPr>
        <w:t xml:space="preserve">IPAM/DDI</w:t>
      </w:r>
      <w:r>
        <w:t xml:space="preserve"> </w:t>
      </w:r>
      <w:r>
        <w:t xml:space="preserve">naming, cryptographic</w:t>
      </w:r>
      <w:r>
        <w:t xml:space="preserve"> </w:t>
      </w:r>
      <w:r>
        <w:rPr>
          <w:b/>
          <w:bCs/>
        </w:rPr>
        <w:t xml:space="preserve">identity</w:t>
      </w:r>
      <w:r>
        <w:t xml:space="preserve">, and a unified</w:t>
      </w:r>
      <w:r>
        <w:t xml:space="preserve"> </w:t>
      </w:r>
      <w:r>
        <w:rPr>
          <w:b/>
          <w:bCs/>
        </w:rPr>
        <w:t xml:space="preserve">evidence</w:t>
      </w:r>
      <w:r>
        <w:t xml:space="preserve"> </w:t>
      </w:r>
      <w:r>
        <w:t xml:space="preserve">contract — are load-bearing: everything</w:t>
      </w:r>
      <w:r>
        <w:t xml:space="preserve"> </w:t>
      </w:r>
      <w:r>
        <w:t xml:space="preserve">else can be re-platformed; these can only be depended on.</w:t>
      </w:r>
    </w:p>
    <w:bookmarkEnd w:id="82"/>
    <w:bookmarkStart w:id="83" w:name="the-three-deadlines-that-bind"/>
    <w:p>
      <w:pPr>
        <w:pStyle w:val="Heading2"/>
      </w:pPr>
      <w:r>
        <w:t xml:space="preserve">The three deadlines that bind</w:t>
      </w:r>
    </w:p>
    <w:tbl>
      <w:tblPr>
        <w:tblStyle w:val="Table"/>
        <w:tblW w:type="pct" w:w="5000"/>
        <w:tblLayout w:type="fixed"/>
        <w:tblLook w:firstRow="1" w:lastRow="0" w:firstColumn="0" w:lastColumn="0" w:noHBand="0" w:noVBand="0" w:val="0020"/>
      </w:tblPr>
      <w:tblGrid>
        <w:gridCol w:w="1250"/>
        <w:gridCol w:w="2917"/>
        <w:gridCol w:w="3751"/>
      </w:tblGrid>
      <w:tr>
        <w:trPr>
          <w:tblHeader w:val="on"/>
        </w:trPr>
        <w:tc>
          <w:tcPr/>
          <w:p>
            <w:pPr>
              <w:pStyle w:val="Compact"/>
            </w:pPr>
            <w:r>
              <w:t xml:space="preserve">Date</w:t>
            </w:r>
          </w:p>
        </w:tc>
        <w:tc>
          <w:tcPr/>
          <w:p>
            <w:pPr>
              <w:pStyle w:val="Compact"/>
            </w:pPr>
            <w:r>
              <w:t xml:space="preserve">What happens</w:t>
            </w:r>
          </w:p>
        </w:tc>
        <w:tc>
          <w:tcPr/>
          <w:p>
            <w:pPr>
              <w:pStyle w:val="Compact"/>
            </w:pPr>
            <w:r>
              <w:t xml:space="preserve">Why it binds Agency</w:t>
            </w:r>
          </w:p>
        </w:tc>
      </w:tr>
      <w:tr>
        <w:tc>
          <w:tcPr/>
          <w:p>
            <w:pPr>
              <w:pStyle w:val="Compact"/>
            </w:pPr>
            <w:r>
              <w:rPr>
                <w:b/>
                <w:bCs/>
              </w:rPr>
              <w:t xml:space="preserve">Aug 31, 2026</w:t>
            </w:r>
          </w:p>
        </w:tc>
        <w:tc>
          <w:tcPr/>
          <w:p>
            <w:pPr>
              <w:pStyle w:val="Compact"/>
            </w:pPr>
            <w:r>
              <w:t xml:space="preserve">FedRAMP 20x</w:t>
            </w:r>
            <w:r>
              <w:t xml:space="preserve"> </w:t>
            </w:r>
            <w:r>
              <w:rPr>
                <w:b/>
                <w:bCs/>
              </w:rPr>
              <w:t xml:space="preserve">Class B + C opens</w:t>
            </w:r>
          </w:p>
        </w:tc>
        <w:tc>
          <w:tcPr/>
          <w:p>
            <w:pPr>
              <w:pStyle w:val="Compact"/>
            </w:pPr>
            <w:r>
              <w:t xml:space="preserve">The pipeline Agency’s inherited Moderate providers enter —</w:t>
            </w:r>
            <w:r>
              <w:t xml:space="preserve"> </w:t>
            </w:r>
            <w:r>
              <w:rPr>
                <w:b/>
                <w:bCs/>
              </w:rPr>
              <w:t xml:space="preserve">Agency’s window</w:t>
            </w:r>
            <w:r>
              <w:t xml:space="preserve">. The substrate must exist to structure inherited evidence cleanly.</w:t>
            </w:r>
          </w:p>
        </w:tc>
      </w:tr>
      <w:tr>
        <w:tc>
          <w:tcPr/>
          <w:p>
            <w:pPr>
              <w:pStyle w:val="Compact"/>
            </w:pPr>
            <w:r>
              <w:rPr>
                <w:b/>
                <w:bCs/>
              </w:rPr>
              <w:t xml:space="preserve">Dec 7, 2026</w:t>
            </w:r>
          </w:p>
        </w:tc>
        <w:tc>
          <w:tcPr/>
          <w:p>
            <w:pPr>
              <w:pStyle w:val="Compact"/>
            </w:pPr>
            <w:r>
              <w:rPr>
                <w:b/>
                <w:bCs/>
              </w:rPr>
              <w:t xml:space="preserve">BOD 26-04 VDR/VER</w:t>
            </w:r>
            <w:r>
              <w:t xml:space="preserve"> </w:t>
            </w:r>
            <w:r>
              <w:t xml:space="preserve">in force</w:t>
            </w:r>
          </w:p>
        </w:tc>
        <w:tc>
          <w:tcPr/>
          <w:p>
            <w:pPr>
              <w:pStyle w:val="Compact"/>
            </w:pPr>
            <w:r>
              <w:t xml:space="preserve">SBOM + vendor disclosure required; risk-based remediation timelines live.</w:t>
            </w:r>
          </w:p>
        </w:tc>
      </w:tr>
      <w:tr>
        <w:tc>
          <w:tcPr/>
          <w:p>
            <w:pPr>
              <w:pStyle w:val="Compact"/>
            </w:pPr>
            <w:r>
              <w:rPr>
                <w:b/>
                <w:bCs/>
              </w:rPr>
              <w:t xml:space="preserve">Jan 1, 2027</w:t>
            </w:r>
          </w:p>
        </w:tc>
        <w:tc>
          <w:tcPr/>
          <w:p>
            <w:pPr>
              <w:pStyle w:val="Compact"/>
            </w:pPr>
            <w:r>
              <w:rPr>
                <w:b/>
                <w:bCs/>
              </w:rPr>
              <w:t xml:space="preserve">CR26 mandatory</w:t>
            </w:r>
          </w:p>
        </w:tc>
        <w:tc>
          <w:tcPr/>
          <w:p>
            <w:pPr>
              <w:pStyle w:val="Compact"/>
            </w:pPr>
            <w:r>
              <w:t xml:space="preserve">All ConMon evidence must be machine-readable KSI format.</w:t>
            </w:r>
          </w:p>
        </w:tc>
      </w:tr>
    </w:tbl>
    <w:p>
      <w:pPr>
        <w:pStyle w:val="BodyText"/>
      </w:pPr>
      <w:r>
        <w:t xml:space="preserve">Two nearer non-FedRAMP clocks also run against controls this series closes:</w:t>
      </w:r>
      <w:r>
        <w:t xml:space="preserve"> </w:t>
      </w:r>
      <w:r>
        <w:rPr>
          <w:b/>
          <w:bCs/>
        </w:rPr>
        <w:t xml:space="preserve">Aug 7, 2026</w:t>
      </w:r>
      <w:r>
        <w:t xml:space="preserve"> </w:t>
      </w:r>
      <w:r>
        <w:t xml:space="preserve">(BOD 26-04 agency policies due) and</w:t>
      </w:r>
      <w:r>
        <w:t xml:space="preserve"> </w:t>
      </w:r>
      <w:r>
        <w:rPr>
          <w:b/>
          <w:bCs/>
        </w:rPr>
        <w:t xml:space="preserve">Sep 21, 2026</w:t>
      </w:r>
      <w:r>
        <w:t xml:space="preserve"> </w:t>
      </w:r>
      <w:r>
        <w:t xml:space="preserve">(FIPS 140-2</w:t>
      </w:r>
      <w:r>
        <w:t xml:space="preserve"> </w:t>
      </w:r>
      <w:r>
        <w:t xml:space="preserve">certificates move to the NIST Historical List). The fully-sourced narrative</w:t>
      </w:r>
      <w:r>
        <w:t xml:space="preserve"> </w:t>
      </w:r>
      <w:r>
        <w:t xml:space="preserve">timeline is the</w:t>
      </w:r>
      <w:r>
        <w:t xml:space="preserve"> </w:t>
      </w:r>
      <w:r>
        <w:rPr>
          <w:i/>
          <w:iCs/>
        </w:rPr>
        <w:t xml:space="preserve">ConMon Gap Roadmap</w:t>
      </w:r>
      <w:r>
        <w:t xml:space="preserve">; the binding dates come from</w:t>
      </w:r>
      <w:r>
        <w:t xml:space="preserve"> </w:t>
      </w:r>
      <w:r>
        <w:rPr>
          <w:rStyle w:val="VerbatimChar"/>
        </w:rPr>
        <w:t xml:space="preserve">federal-compliance-authority-deadlines.yml</w:t>
      </w:r>
      <w:r>
        <w:t xml:space="preserve">, the gated registry that is the single source of</w:t>
      </w:r>
      <w:r>
        <w:t xml:space="preserve"> </w:t>
      </w:r>
      <w:r>
        <w:t xml:space="preserve">truth for every federal date the series cites.</w:t>
      </w:r>
    </w:p>
    <w:bookmarkEnd w:id="83"/>
    <w:bookmarkStart w:id="84" w:name="decisions-required-from-ois-cio"/>
    <w:p>
      <w:pPr>
        <w:pStyle w:val="Heading2"/>
      </w:pPr>
      <w:r>
        <w:t xml:space="preserve">Decisions required from OIS / CIO</w:t>
      </w:r>
    </w:p>
    <w:p>
      <w:pPr>
        <w:pStyle w:val="FirstParagraph"/>
      </w:pPr>
      <w:r>
        <w:t xml:space="preserve">This work has</w:t>
      </w:r>
      <w:r>
        <w:t xml:space="preserve"> </w:t>
      </w:r>
      <w:r>
        <w:rPr>
          <w:b/>
          <w:bCs/>
        </w:rPr>
        <w:t xml:space="preserve">not</w:t>
      </w:r>
      <w:r>
        <w:t xml:space="preserve"> </w:t>
      </w:r>
      <w:r>
        <w:t xml:space="preserve">been reviewed or endorsed by OIS or the CIO — the authoring</w:t>
      </w:r>
      <w:r>
        <w:t xml:space="preserve"> </w:t>
      </w:r>
      <w:r>
        <w:t xml:space="preserve">team does not hold that authority, and this is a required step before any</w:t>
      </w:r>
      <w:r>
        <w:t xml:space="preserve"> </w:t>
      </w:r>
      <w:r>
        <w:t xml:space="preserve">commitment. The specific decisions:</w:t>
      </w:r>
    </w:p>
    <w:p>
      <w:pPr>
        <w:pStyle w:val="Compact"/>
        <w:numPr>
          <w:ilvl w:val="0"/>
          <w:numId w:val="1023"/>
        </w:numPr>
      </w:pPr>
      <w:r>
        <w:rPr>
          <w:b/>
          <w:bCs/>
        </w:rPr>
        <w:t xml:space="preserve">Endorse (or redirect) the architecture doctrine.</w:t>
      </w:r>
      <w:r>
        <w:t xml:space="preserve"> </w:t>
      </w:r>
      <w:r>
        <w:t xml:space="preserve">Owner:</w:t>
      </w:r>
      <w:r>
        <w:t xml:space="preserve"> </w:t>
      </w:r>
      <w:r>
        <w:rPr>
          <w:b/>
          <w:bCs/>
        </w:rPr>
        <w:t xml:space="preserve">OIS + CIO</w:t>
      </w:r>
      <w:r>
        <w:t xml:space="preserve"> </w:t>
      </w:r>
      <w:r>
        <w:t xml:space="preserve">·</w:t>
      </w:r>
      <w:r>
        <w:t xml:space="preserve"> </w:t>
      </w:r>
      <w:r>
        <w:t xml:space="preserve">By:</w:t>
      </w:r>
      <w:r>
        <w:t xml:space="preserve"> </w:t>
      </w:r>
      <w:r>
        <w:rPr>
          <w:b/>
          <w:bCs/>
        </w:rPr>
        <w:t xml:space="preserve">before any procurement or build commitment.</w:t>
      </w:r>
    </w:p>
    <w:p>
      <w:pPr>
        <w:pStyle w:val="Compact"/>
        <w:numPr>
          <w:ilvl w:val="0"/>
          <w:numId w:val="1023"/>
        </w:numPr>
      </w:pPr>
      <w:r>
        <w:rPr>
          <w:b/>
          <w:bCs/>
        </w:rPr>
        <w:t xml:space="preserve">Accept the ServiceNow High-on-Moderate boundary treatment, or name a</w:t>
      </w:r>
      <w:r>
        <w:rPr>
          <w:b/>
          <w:bCs/>
        </w:rPr>
        <w:t xml:space="preserve"> </w:t>
      </w:r>
      <w:r>
        <w:rPr>
          <w:b/>
          <w:bCs/>
        </w:rPr>
        <w:t xml:space="preserve">Moderate-authorized alternative.</w:t>
      </w:r>
      <w:r>
        <w:t xml:space="preserve"> </w:t>
      </w:r>
      <w:r>
        <w:t xml:space="preserve">ServiceNow Government Cloud is FedRAMP</w:t>
      </w:r>
      <w:r>
        <w:t xml:space="preserve"> </w:t>
      </w:r>
      <w:r>
        <w:rPr>
          <w:i/>
          <w:iCs/>
        </w:rPr>
        <w:t xml:space="preserve">High</w:t>
      </w:r>
      <w:r>
        <w:t xml:space="preserve"> </w:t>
      </w:r>
      <w:r>
        <w:t xml:space="preserve">coordinating a</w:t>
      </w:r>
      <w:r>
        <w:t xml:space="preserve"> </w:t>
      </w:r>
      <w:r>
        <w:rPr>
          <w:i/>
          <w:iCs/>
        </w:rPr>
        <w:t xml:space="preserve">Moderate</w:t>
      </w:r>
      <w:r>
        <w:t xml:space="preserve"> </w:t>
      </w:r>
      <w:r>
        <w:t xml:space="preserve">boundary (a conservative delta). Owner:</w:t>
      </w:r>
      <w:r>
        <w:t xml:space="preserve"> </w:t>
      </w:r>
      <w:r>
        <w:rPr>
          <w:b/>
          <w:bCs/>
        </w:rPr>
        <w:t xml:space="preserve">AO / ISSO</w:t>
      </w:r>
      <w:r>
        <w:t xml:space="preserve"> </w:t>
      </w:r>
      <w:r>
        <w:t xml:space="preserve">· By:</w:t>
      </w:r>
      <w:r>
        <w:t xml:space="preserve"> </w:t>
      </w:r>
      <w:r>
        <w:rPr>
          <w:b/>
          <w:bCs/>
        </w:rPr>
        <w:t xml:space="preserve">before the Vol VII–IX build.</w:t>
      </w:r>
    </w:p>
    <w:p>
      <w:pPr>
        <w:pStyle w:val="Compact"/>
        <w:numPr>
          <w:ilvl w:val="0"/>
          <w:numId w:val="1023"/>
        </w:numPr>
      </w:pPr>
      <w:r>
        <w:rPr>
          <w:b/>
          <w:bCs/>
        </w:rPr>
        <w:t xml:space="preserve">Fund the load-bearing substrate first</w:t>
      </w:r>
      <w:r>
        <w:t xml:space="preserve"> </w:t>
      </w:r>
      <w:r>
        <w:t xml:space="preserve">— IPAM/DDI, then the SD-WAN transport</w:t>
      </w:r>
      <w:r>
        <w:t xml:space="preserve"> </w:t>
      </w:r>
      <w:r>
        <w:t xml:space="preserve">overlay and TIC 3.0 enforcement. Owner:</w:t>
      </w:r>
      <w:r>
        <w:t xml:space="preserve"> </w:t>
      </w:r>
      <w:r>
        <w:rPr>
          <w:b/>
          <w:bCs/>
        </w:rPr>
        <w:t xml:space="preserve">CIO / budget</w:t>
      </w:r>
      <w:r>
        <w:t xml:space="preserve"> </w:t>
      </w:r>
      <w:r>
        <w:t xml:space="preserve">· By:</w:t>
      </w:r>
      <w:r>
        <w:t xml:space="preserve"> </w:t>
      </w:r>
      <w:r>
        <w:rPr>
          <w:b/>
          <w:bCs/>
        </w:rPr>
        <w:t xml:space="preserve">in time to</w:t>
      </w:r>
      <w:r>
        <w:rPr>
          <w:b/>
          <w:bCs/>
        </w:rPr>
        <w:t xml:space="preserve"> </w:t>
      </w:r>
      <w:r>
        <w:rPr>
          <w:b/>
          <w:bCs/>
        </w:rPr>
        <w:t xml:space="preserve">structure evidence for the Aug 31, 2026 window.</w:t>
      </w:r>
    </w:p>
    <w:p>
      <w:pPr>
        <w:pStyle w:val="Compact"/>
        <w:numPr>
          <w:ilvl w:val="0"/>
          <w:numId w:val="1023"/>
        </w:numPr>
      </w:pPr>
      <w:r>
        <w:rPr>
          <w:b/>
          <w:bCs/>
        </w:rPr>
        <w:t xml:space="preserve">Direct the internal-rules → CR26 reconciliation and schedule the independent SCA.</w:t>
      </w:r>
      <w:r>
        <w:t xml:space="preserve"> </w:t>
      </w:r>
      <w:r>
        <w:t xml:space="preserve">27 of 46 CR26 indicators are not yet bound to a rule (attested at ScuBA</w:t>
      </w:r>
      <w:r>
        <w:t xml:space="preserve"> </w:t>
      </w:r>
      <w:r>
        <w:t xml:space="preserve">baseline only); the June 25, 2026 finalized-list blocker has cleared. Owner:</w:t>
      </w:r>
      <w:r>
        <w:t xml:space="preserve"> </w:t>
      </w:r>
      <w:r>
        <w:rPr>
          <w:b/>
          <w:bCs/>
        </w:rPr>
        <w:t xml:space="preserve">OIS ConMon lead</w:t>
      </w:r>
      <w:r>
        <w:t xml:space="preserve"> </w:t>
      </w:r>
      <w:r>
        <w:t xml:space="preserve">· By:</w:t>
      </w:r>
      <w:r>
        <w:t xml:space="preserve"> </w:t>
      </w:r>
      <w:r>
        <w:rPr>
          <w:b/>
          <w:bCs/>
        </w:rPr>
        <w:t xml:space="preserve">before independent SCA; no later than Aug 31, 2026.</w:t>
      </w:r>
    </w:p>
    <w:p>
      <w:pPr>
        <w:pStyle w:val="Compact"/>
        <w:numPr>
          <w:ilvl w:val="0"/>
          <w:numId w:val="1023"/>
        </w:numPr>
      </w:pPr>
      <w:r>
        <w:rPr>
          <w:b/>
          <w:bCs/>
        </w:rPr>
        <w:t xml:space="preserve">Decide the Volume VIII multi-cloud breadth.</w:t>
      </w:r>
      <w:r>
        <w:t xml:space="preserve"> </w:t>
      </w:r>
      <w:r>
        <w:t xml:space="preserve">Vol VIII spans AWS/GCP/OCI/</w:t>
      </w:r>
      <w:r>
        <w:t xml:space="preserve"> </w:t>
      </w:r>
      <w:r>
        <w:t xml:space="preserve">VMware — the one deliberate exception to the GCC-Moderate/Microsoft scope.</w:t>
      </w:r>
      <w:r>
        <w:t xml:space="preserve"> </w:t>
      </w:r>
      <w:r>
        <w:t xml:space="preserve">Owner:</w:t>
      </w:r>
      <w:r>
        <w:t xml:space="preserve"> </w:t>
      </w:r>
      <w:r>
        <w:rPr>
          <w:b/>
          <w:bCs/>
        </w:rPr>
        <w:t xml:space="preserve">CIO</w:t>
      </w:r>
      <w:r>
        <w:t xml:space="preserve"> </w:t>
      </w:r>
      <w:r>
        <w:t xml:space="preserve">· By:</w:t>
      </w:r>
      <w:r>
        <w:t xml:space="preserve"> </w:t>
      </w:r>
      <w:r>
        <w:rPr>
          <w:b/>
          <w:bCs/>
        </w:rPr>
        <w:t xml:space="preserve">before committing Vol VIII beyond Azure.</w:t>
      </w:r>
    </w:p>
    <w:bookmarkEnd w:id="84"/>
    <w:bookmarkStart w:id="85" w:name="cost-of-inaction"/>
    <w:p>
      <w:pPr>
        <w:pStyle w:val="Heading2"/>
      </w:pPr>
      <w:r>
        <w:t xml:space="preserve">Cost of inaction</w:t>
      </w:r>
    </w:p>
    <w:p>
      <w:pPr>
        <w:pStyle w:val="FirstParagraph"/>
      </w:pPr>
      <w:r>
        <w:t xml:space="preserve">If the substrate is not in place before the Aug 31, 2026 window and the Jan 1,</w:t>
      </w:r>
      <w:r>
        <w:t xml:space="preserve"> </w:t>
      </w:r>
      <w:r>
        <w:t xml:space="preserve">2027 CR26 mandate:</w:t>
      </w:r>
    </w:p>
    <w:p>
      <w:pPr>
        <w:pStyle w:val="Compact"/>
        <w:numPr>
          <w:ilvl w:val="0"/>
          <w:numId w:val="1024"/>
        </w:numPr>
      </w:pPr>
      <w:r>
        <w:rPr>
          <w:b/>
          <w:bCs/>
        </w:rPr>
        <w:t xml:space="preserve">Inherited authorizations stop reconciling.</w:t>
      </w:r>
      <w:r>
        <w:t xml:space="preserve"> </w:t>
      </w:r>
      <w:r>
        <w:t xml:space="preserve">Without the naming/identity/</w:t>
      </w:r>
      <w:r>
        <w:t xml:space="preserve"> </w:t>
      </w:r>
      <w:r>
        <w:t xml:space="preserve">evidence planes, the agency cannot assemble a continuous, machine-readable KSI</w:t>
      </w:r>
      <w:r>
        <w:t xml:space="preserve"> </w:t>
      </w:r>
      <w:r>
        <w:t xml:space="preserve">package, and inherited-service evidence cannot be joined into one picture.</w:t>
      </w:r>
    </w:p>
    <w:p>
      <w:pPr>
        <w:pStyle w:val="Compact"/>
        <w:numPr>
          <w:ilvl w:val="0"/>
          <w:numId w:val="1024"/>
        </w:numPr>
      </w:pPr>
      <w:r>
        <w:rPr>
          <w:b/>
          <w:bCs/>
        </w:rPr>
        <w:t xml:space="preserve">The same findings recur every assessment cycle.</w:t>
      </w:r>
      <w:r>
        <w:t xml:space="preserve"> </w:t>
      </w:r>
      <w:r>
        <w:t xml:space="preserve">Open CM-8 (component</w:t>
      </w:r>
      <w:r>
        <w:t xml:space="preserve"> </w:t>
      </w:r>
      <w:r>
        <w:t xml:space="preserve">inventory), SC-20/SC-21 (DNSSEC), and SC-8 (transport encryption) findings</w:t>
      </w:r>
      <w:r>
        <w:t xml:space="preserve"> </w:t>
      </w:r>
      <w:r>
        <w:t xml:space="preserve">become standing POA&amp;M items that manual evidence assembly cannot clear under</w:t>
      </w:r>
      <w:r>
        <w:t xml:space="preserve"> </w:t>
      </w:r>
      <w:r>
        <w:t xml:space="preserve">20x.</w:t>
      </w:r>
    </w:p>
    <w:p>
      <w:pPr>
        <w:pStyle w:val="Compact"/>
        <w:numPr>
          <w:ilvl w:val="0"/>
          <w:numId w:val="1024"/>
        </w:numPr>
      </w:pPr>
      <w:r>
        <w:rPr>
          <w:b/>
          <w:bCs/>
        </w:rPr>
        <w:t xml:space="preserve">Spend does not fix it.</w:t>
      </w:r>
      <w:r>
        <w:t xml:space="preserve"> </w:t>
      </w:r>
      <w:r>
        <w:t xml:space="preserve">The perimeter architecture cannot satisfy the Zero</w:t>
      </w:r>
      <w:r>
        <w:t xml:space="preserve"> </w:t>
      </w:r>
      <w:r>
        <w:t xml:space="preserve">Trust controls regardless of tooling budget — the mismatch is structural, so</w:t>
      </w:r>
      <w:r>
        <w:t xml:space="preserve"> </w:t>
      </w:r>
      <w:r>
        <w:t xml:space="preserve">money spent without the pattern change buys tools that measure a gap they</w:t>
      </w:r>
      <w:r>
        <w:t xml:space="preserve"> </w:t>
      </w:r>
      <w:r>
        <w:t xml:space="preserve">cannot close.</w:t>
      </w:r>
    </w:p>
    <w:bookmarkEnd w:id="85"/>
    <w:bookmarkStart w:id="86" w:name="reading-paths-by-role"/>
    <w:p>
      <w:pPr>
        <w:pStyle w:val="Heading2"/>
      </w:pPr>
      <w:r>
        <w:t xml:space="preserve">Reading paths by role</w:t>
      </w:r>
    </w:p>
    <w:p>
      <w:pPr>
        <w:pStyle w:val="Compact"/>
        <w:numPr>
          <w:ilvl w:val="0"/>
          <w:numId w:val="1025"/>
        </w:numPr>
      </w:pPr>
      <w:r>
        <w:rPr>
          <w:b/>
          <w:bCs/>
        </w:rPr>
        <w:t xml:space="preserve">Authorizing Official / budget:</w:t>
      </w:r>
      <w:r>
        <w:t xml:space="preserve"> </w:t>
      </w:r>
      <w:r>
        <w:t xml:space="preserve">this brief, then the</w:t>
      </w:r>
      <w:r>
        <w:t xml:space="preserve"> </w:t>
      </w:r>
      <w:r>
        <w:rPr>
          <w:i/>
          <w:iCs/>
        </w:rPr>
        <w:t xml:space="preserve">Product Inventory</w:t>
      </w:r>
      <w:r>
        <w:rPr>
          <w:i/>
          <w:iCs/>
        </w:rPr>
        <w:t xml:space="preserve"> </w:t>
      </w:r>
      <w:r>
        <w:rPr>
          <w:i/>
          <w:iCs/>
        </w:rPr>
        <w:t xml:space="preserve">Questionnaire</w:t>
      </w:r>
      <w:r>
        <w:t xml:space="preserve"> </w:t>
      </w:r>
      <w:r>
        <w:t xml:space="preserve">(Vol 0 Book 01) for product/authorization status, and the</w:t>
      </w:r>
      <w:r>
        <w:t xml:space="preserve"> </w:t>
      </w:r>
      <w:r>
        <w:rPr>
          <w:i/>
          <w:iCs/>
        </w:rPr>
        <w:t xml:space="preserve">Residual Compliance Risk</w:t>
      </w:r>
      <w:r>
        <w:t xml:space="preserve"> </w:t>
      </w:r>
      <w:r>
        <w:t xml:space="preserve">section of Book 00 for the finding-level exposure.</w:t>
      </w:r>
    </w:p>
    <w:p>
      <w:pPr>
        <w:pStyle w:val="Compact"/>
        <w:numPr>
          <w:ilvl w:val="0"/>
          <w:numId w:val="1025"/>
        </w:numPr>
      </w:pPr>
      <w:r>
        <w:rPr>
          <w:b/>
          <w:bCs/>
        </w:rPr>
        <w:t xml:space="preserve">ISSO / assessor:</w:t>
      </w:r>
      <w:r>
        <w:t xml:space="preserve"> </w:t>
      </w:r>
      <w:r>
        <w:t xml:space="preserve">the</w:t>
      </w:r>
      <w:r>
        <w:t xml:space="preserve"> </w:t>
      </w:r>
      <w:r>
        <w:rPr>
          <w:i/>
          <w:iCs/>
        </w:rPr>
        <w:t xml:space="preserve">Series Control Crosswalk</w:t>
      </w:r>
      <w:r>
        <w:t xml:space="preserve"> </w:t>
      </w:r>
      <w:r>
        <w:t xml:space="preserve">(Vol 0 Book 02) and the</w:t>
      </w:r>
      <w:r>
        <w:t xml:space="preserve"> </w:t>
      </w:r>
      <w:r>
        <w:t xml:space="preserve">generated</w:t>
      </w:r>
      <w:r>
        <w:t xml:space="preserve"> </w:t>
      </w:r>
      <w:r>
        <w:rPr>
          <w:i/>
          <w:iCs/>
        </w:rPr>
        <w:t xml:space="preserve">Claim → Evidence → Test Matrix</w:t>
      </w:r>
      <w:r>
        <w:t xml:space="preserve"> </w:t>
      </w:r>
      <w:r>
        <w:t xml:space="preserve">for what is proven vs asserted, then</w:t>
      </w:r>
      <w:r>
        <w:t xml:space="preserve"> </w:t>
      </w:r>
      <w:r>
        <w:t xml:space="preserve">Vol IV Book 06 (Authorization Package &amp; ConMon).</w:t>
      </w:r>
    </w:p>
    <w:p>
      <w:pPr>
        <w:pStyle w:val="Compact"/>
        <w:numPr>
          <w:ilvl w:val="0"/>
          <w:numId w:val="1025"/>
        </w:numPr>
      </w:pPr>
      <w:r>
        <w:rPr>
          <w:b/>
          <w:bCs/>
        </w:rPr>
        <w:t xml:space="preserve">Engineer:</w:t>
      </w:r>
      <w:r>
        <w:t xml:space="preserve"> </w:t>
      </w:r>
      <w:r>
        <w:t xml:space="preserve">the volume overview books (</w:t>
      </w:r>
      <w:r>
        <w:rPr>
          <w:rStyle w:val="VerbatimChar"/>
        </w:rPr>
        <w:t xml:space="preserve">Vol_*_Book_00</w:t>
      </w:r>
      <w:r>
        <w:t xml:space="preserve">), then Volume VI</w:t>
      </w:r>
      <w:r>
        <w:t xml:space="preserve"> </w:t>
      </w:r>
      <w:r>
        <w:t xml:space="preserve">(deploy-as-code) and the Volume VIII/IX kits shipped as source in the</w:t>
      </w:r>
      <w:r>
        <w:t xml:space="preserve"> </w:t>
      </w:r>
      <w:r>
        <w:t xml:space="preserve">distribution kit.</w:t>
      </w:r>
    </w:p>
    <w:bookmarkEnd w:id="86"/>
    <w:bookmarkStart w:id="87" w:name="honest-status-line"/>
    <w:p>
      <w:pPr>
        <w:pStyle w:val="Heading2"/>
      </w:pPr>
      <w:r>
        <w:t xml:space="preserve">Honest status line</w:t>
      </w:r>
    </w:p>
    <w:p>
      <w:pPr>
        <w:pStyle w:val="FirstParagraph"/>
      </w:pPr>
      <w:r>
        <w:t xml:space="preserve">Self-assessed against the series’ internal KSI decomposition;</w:t>
      </w:r>
      <w:r>
        <w:t xml:space="preserve"> </w:t>
      </w:r>
      <w:r>
        <w:rPr>
          <w:b/>
          <w:bCs/>
        </w:rPr>
        <w:t xml:space="preserve">CR26 indicator coverage is</w:t>
      </w:r>
      <w:r>
        <w:rPr>
          <w:b/>
          <w:bCs/>
        </w:rPr>
        <w:t xml:space="preserve"> </w:t>
      </w:r>
      <w:r>
        <w:rPr>
          <w:b/>
          <w:bCs/>
        </w:rPr>
        <w:t xml:space="preserve">19/46</w:t>
      </w:r>
      <w:r>
        <w:t xml:space="preserve"> </w:t>
      </w:r>
      <w:r>
        <w:t xml:space="preserve">(see the CR26 Reconciliation), the spine’s generated-and-gated closures</w:t>
      </w:r>
      <w:r>
        <w:t xml:space="preserve"> </w:t>
      </w:r>
      <w:r>
        <w:t xml:space="preserve">cover</w:t>
      </w:r>
      <w:r>
        <w:t xml:space="preserve"> </w:t>
      </w:r>
      <w:r>
        <w:rPr>
          <w:b/>
          <w:bCs/>
        </w:rPr>
        <w:t xml:space="preserve">20 of 71 books</w:t>
      </w:r>
      <w:r>
        <w:t xml:space="preserve">, and the whole package is</w:t>
      </w:r>
      <w:r>
        <w:t xml:space="preserve"> </w:t>
      </w:r>
      <w:r>
        <w:rPr>
          <w:b/>
          <w:bCs/>
        </w:rPr>
        <w:t xml:space="preserve">pending independent SCA</w:t>
      </w:r>
      <w:r>
        <w:t xml:space="preserve">.</w:t>
      </w:r>
      <w:r>
        <w:t xml:space="preserve"> </w:t>
      </w:r>
      <w:r>
        <w:t xml:space="preserve">Nothing here is an authorization result. Full detail:</w:t>
      </w:r>
      <w:r>
        <w:t xml:space="preserve"> </w:t>
      </w:r>
      <w:r>
        <w:rPr>
          <w:b/>
          <w:bCs/>
        </w:rPr>
        <w:t xml:space="preserve">Vol 0 Book 00</w:t>
      </w:r>
      <w:r>
        <w:t xml:space="preserve"> </w:t>
      </w:r>
      <w:r>
        <w:t xml:space="preserve">(technical</w:t>
      </w:r>
      <w:r>
        <w:t xml:space="preserve"> </w:t>
      </w:r>
      <w:r>
        <w:t xml:space="preserve">compendium).</w:t>
      </w:r>
    </w:p>
    <w:bookmarkEnd w:id="87"/>
    <w:bookmarkStart w:id="88"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 discovery instrument, not an authorization artifact or a procurement decision, and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00:33 ET</w:t>
      </w:r>
    </w:p>
    <w:bookmarkEnd w:id="88"/>
    <w:bookmarkEnd w:id="89"/>
    <w:bookmarkStart w:id="90" w:name="purpose-and-how-to-use"/>
    <w:p>
      <w:pPr>
        <w:pStyle w:val="Heading1"/>
      </w:pPr>
      <w:r>
        <w:t xml:space="preserve">Purpose and How to Use</w:t>
      </w:r>
    </w:p>
    <w:p>
      <w:pPr>
        <w:pStyle w:val="FirstParagraph"/>
      </w:pPr>
      <w:r>
        <w:t xml:space="preserve">This questionnaire inventories the products an agency</w:t>
      </w:r>
      <w:r>
        <w:t xml:space="preserve"> </w:t>
      </w:r>
      <w:r>
        <w:rPr>
          <w:b/>
          <w:bCs/>
        </w:rPr>
        <w:t xml:space="preserve">already operates</w:t>
      </w:r>
      <w:r>
        <w:t xml:space="preserve"> </w:t>
      </w:r>
      <w:r>
        <w:t xml:space="preserve">and</w:t>
      </w:r>
      <w:r>
        <w:t xml:space="preserve"> </w:t>
      </w:r>
      <w:r>
        <w:t xml:space="preserve">maps each onto the Federal Compliance</w:t>
      </w:r>
      <w:r>
        <w:t xml:space="preserve"> </w:t>
      </w:r>
      <w:r>
        <w:t xml:space="preserve">architecture — the functional planes, the control-closure books, and the</w:t>
      </w:r>
      <w:r>
        <w:t xml:space="preserve"> </w:t>
      </w:r>
      <w:r>
        <w:t xml:space="preserve">Management-Plane Coordination Doctrine. It exists because the Compliance plan is being</w:t>
      </w:r>
      <w:r>
        <w:t xml:space="preserve"> </w:t>
      </w:r>
      <w:r>
        <w:t xml:space="preserve">executed without full visibility into the agency’s deployed tooling: you cannot</w:t>
      </w:r>
      <w:r>
        <w:t xml:space="preserve"> </w:t>
      </w:r>
      <w:r>
        <w:t xml:space="preserve">select a coordination stack, or claim an inherited control, without first</w:t>
      </w:r>
      <w:r>
        <w:t xml:space="preserve"> </w:t>
      </w:r>
      <w:r>
        <w:t xml:space="preserve">knowing what is already in place and how it is authorized.</w:t>
      </w:r>
    </w:p>
    <w:p>
      <w:pPr>
        <w:pStyle w:val="BodyText"/>
      </w:pPr>
      <w:r>
        <w:rPr>
          <w:b/>
          <w:bCs/>
        </w:rPr>
        <w:t xml:space="preserve">Two editions of this instrument render from one source:</w:t>
      </w:r>
    </w:p>
    <w:p>
      <w:pPr>
        <w:pStyle w:val="Compact"/>
        <w:numPr>
          <w:ilvl w:val="0"/>
          <w:numId w:val="1026"/>
        </w:numPr>
      </w:pPr>
      <w:r>
        <w:rPr>
          <w:b/>
          <w:bCs/>
        </w:rPr>
        <w:t xml:space="preserve">Federal edition (the default)</w:t>
      </w:r>
      <w:r>
        <w:t xml:space="preserve"> </w:t>
      </w:r>
      <w:r>
        <w:t xml:space="preserve">— the discovery tables (§4) with the pre-filled</w:t>
      </w:r>
      <w:r>
        <w:t xml:space="preserve"> </w:t>
      </w:r>
      <w:r>
        <w:t xml:space="preserve">inventory (§3) omitted, and the scope rule stated generally: name the boundary</w:t>
      </w:r>
      <w:r>
        <w:t xml:space="preserve"> </w:t>
      </w:r>
      <w:r>
        <w:t xml:space="preserve">level the agency is authorized at, then require every dependency at or above it.</w:t>
      </w:r>
      <w:r>
        <w:t xml:space="preserve"> </w:t>
      </w:r>
      <w:r>
        <w:t xml:space="preserve">This is the edition that publishes.</w:t>
      </w:r>
    </w:p>
    <w:p>
      <w:pPr>
        <w:pStyle w:val="Compact"/>
        <w:numPr>
          <w:ilvl w:val="0"/>
          <w:numId w:val="1026"/>
        </w:numPr>
      </w:pPr>
      <w:r>
        <w:rPr>
          <w:b/>
          <w:bCs/>
        </w:rPr>
        <w:t xml:space="preserve">Agency edition</w:t>
      </w:r>
      <w:r>
        <w:t xml:space="preserve"> </w:t>
      </w:r>
      <w:r>
        <w:t xml:space="preserve">— the same tables, plus the pre-filled block of known Agency tools</w:t>
      </w:r>
      <w:r>
        <w:t xml:space="preserve"> </w:t>
      </w:r>
      <w:r>
        <w:t xml:space="preserve">(§3) and a</w:t>
      </w:r>
      <w:r>
        <w:t xml:space="preserve"> </w:t>
      </w:r>
      <w:r>
        <w:rPr>
          <w:b/>
          <w:bCs/>
        </w:rPr>
        <w:t xml:space="preserve">hard scope rule (§2)</w:t>
      </w:r>
      <w:r>
        <w:t xml:space="preserve"> </w:t>
      </w:r>
      <w:r>
        <w:t xml:space="preserve">fixing every dependency at</w:t>
      </w:r>
      <w:r>
        <w:t xml:space="preserve"> </w:t>
      </w:r>
      <w:r>
        <w:rPr>
          <w:b/>
          <w:bCs/>
        </w:rPr>
        <w:t xml:space="preserve">FedRAMP</w:t>
      </w:r>
      <w:r>
        <w:rPr>
          <w:b/>
          <w:bCs/>
        </w:rPr>
        <w:t xml:space="preserve"> </w:t>
      </w:r>
      <w:r>
        <w:rPr>
          <w:b/>
          <w:bCs/>
        </w:rPr>
        <w:t xml:space="preserve">Moderate</w:t>
      </w:r>
      <w:r>
        <w:t xml:space="preserve">. Its agency facts live in a segregated edition file that is not</w:t>
      </w:r>
      <w:r>
        <w:t xml:space="preserve"> </w:t>
      </w:r>
      <w:r>
        <w:t xml:space="preserve">published.</w:t>
      </w:r>
    </w:p>
    <w:p>
      <w:pPr>
        <w:pStyle w:val="FirstParagraph"/>
      </w:pPr>
      <w:r>
        <w:t xml:space="preserve">The two names are literal here on purpose. This passage is</w:t>
      </w:r>
      <w:r>
        <w:t xml:space="preserve"> </w:t>
      </w:r>
      <w:r>
        <w:rPr>
          <w:i/>
          <w:iCs/>
        </w:rPr>
        <w:t xml:space="preserve">about</w:t>
      </w:r>
      <w:r>
        <w:t xml:space="preserve"> </w:t>
      </w:r>
      <w:r>
        <w:t xml:space="preserve">the split, so</w:t>
      </w:r>
      <w:r>
        <w:t xml:space="preserve"> </w:t>
      </w:r>
      <w:r>
        <w:t xml:space="preserve">substituting the agency variable into it would make it circular —</w:t>
      </w:r>
      <w:r>
        <w:t xml:space="preserve"> </w:t>
      </w:r>
      <w:r>
        <w:t xml:space="preserve">“Agency edition”</w:t>
      </w:r>
      <w:r>
        <w:t xml:space="preserve"> </w:t>
      </w:r>
      <w:r>
        <w:t xml:space="preserve">and</w:t>
      </w:r>
      <w:r>
        <w:t xml:space="preserve"> </w:t>
      </w:r>
      <w:r>
        <w:t xml:space="preserve">“Federal edition”</w:t>
      </w:r>
      <w:r>
        <w:t xml:space="preserve"> </w:t>
      </w:r>
      <w:r>
        <w:t xml:space="preserve">would read as two different things.</w:t>
      </w:r>
    </w:p>
    <w:p>
      <w:pPr>
        <w:pStyle w:val="BodyText"/>
      </w:pPr>
      <w:r>
        <w:rPr>
          <w:b/>
          <w:bCs/>
        </w:rPr>
        <w:t xml:space="preserve">How to complete it:</w:t>
      </w:r>
      <w:r>
        <w:t xml:space="preserve"> </w:t>
      </w:r>
      <w:r>
        <w:t xml:space="preserve">for each category in §4, fill the four working columns —</w:t>
      </w:r>
      <w:r>
        <w:t xml:space="preserve"> </w:t>
      </w:r>
      <w:r>
        <w:rPr>
          <w:i/>
          <w:iCs/>
        </w:rPr>
        <w:t xml:space="preserve">In use?</w:t>
      </w:r>
      <w:r>
        <w:t xml:space="preserve">,</w:t>
      </w:r>
      <w:r>
        <w:t xml:space="preserve"> </w:t>
      </w:r>
      <w:r>
        <w:rPr>
          <w:i/>
          <w:iCs/>
        </w:rPr>
        <w:t xml:space="preserve">Product &amp; offering</w:t>
      </w:r>
      <w:r>
        <w:t xml:space="preserve">,</w:t>
      </w:r>
      <w:r>
        <w:t xml:space="preserve"> </w:t>
      </w:r>
      <w:r>
        <w:rPr>
          <w:i/>
          <w:iCs/>
        </w:rPr>
        <w:t xml:space="preserve">FedRAMP status</w:t>
      </w:r>
      <w:r>
        <w:t xml:space="preserve">,</w:t>
      </w:r>
      <w:r>
        <w:t xml:space="preserve"> </w:t>
      </w:r>
      <w:r>
        <w:rPr>
          <w:i/>
          <w:iCs/>
        </w:rPr>
        <w:t xml:space="preserve">Deployment surface</w:t>
      </w:r>
      <w:r>
        <w:t xml:space="preserve">. The</w:t>
      </w:r>
      <w:r>
        <w:t xml:space="preserve"> </w:t>
      </w:r>
      <w:r>
        <w:rPr>
          <w:i/>
          <w:iCs/>
        </w:rPr>
        <w:t xml:space="preserve">Maps to</w:t>
      </w:r>
      <w:r>
        <w:t xml:space="preserve"> </w:t>
      </w:r>
      <w:r>
        <w:t xml:space="preserve">column is pre-filled; it tells you which Compliance book and functional plane</w:t>
      </w:r>
      <w:r>
        <w:t xml:space="preserve"> </w:t>
      </w:r>
      <w:r>
        <w:t xml:space="preserve">the answer feeds. Anything that fails the §2 rule goes on the §5 flag list.</w:t>
      </w:r>
    </w:p>
    <w:bookmarkEnd w:id="90"/>
    <w:bookmarkStart w:id="92" w:name="scope-rule"/>
    <w:p>
      <w:pPr>
        <w:pStyle w:val="Heading1"/>
      </w:pPr>
      <w:r>
        <w:t xml:space="preserve">The Scope Rule — Agency Edition Is Exclusively FedRAMP Moderate</w:t>
      </w:r>
    </w:p>
    <w:p>
      <w:pPr>
        <w:pStyle w:val="FirstParagraph"/>
      </w:pPr>
      <w:r>
        <w:t xml:space="preserve">Every product the Agency edition documents as an in-boundary dependency must be</w:t>
      </w:r>
      <w:r>
        <w:t xml:space="preserve"> </w:t>
      </w:r>
      <w:r>
        <w:rPr>
          <w:b/>
          <w:bCs/>
        </w:rPr>
        <w:t xml:space="preserve">FedRAMP Certified at Class C (Moderate)</w:t>
      </w:r>
      <w:r>
        <w:t xml:space="preserve">. Apply the following dispositions: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Disposition</w:t>
            </w:r>
          </w:p>
        </w:tc>
      </w:tr>
      <w:tr>
        <w:tc>
          <w:tcPr/>
          <w:p>
            <w:pPr>
              <w:pStyle w:val="Compact"/>
            </w:pPr>
            <w:r>
              <w:t xml:space="preserve">Product has a</w:t>
            </w:r>
            <w:r>
              <w:t xml:space="preserve"> </w:t>
            </w:r>
            <w:r>
              <w:rPr>
                <w:b/>
                <w:bCs/>
              </w:rPr>
              <w:t xml:space="preserve">Class C (Moderate)</w:t>
            </w:r>
            <w:r>
              <w:t xml:space="preserve"> </w:t>
            </w:r>
            <w:r>
              <w:t xml:space="preserve">authorization</w:t>
            </w:r>
          </w:p>
        </w:tc>
        <w:tc>
          <w:tcPr/>
          <w:p>
            <w:pPr>
              <w:pStyle w:val="Compact"/>
            </w:pPr>
            <w:r>
              <w:t xml:space="preserve">✅ In scope — record the CSO / Marketplace ID</w:t>
            </w:r>
          </w:p>
        </w:tc>
      </w:tr>
      <w:tr>
        <w:tc>
          <w:tcPr/>
          <w:p>
            <w:pPr>
              <w:pStyle w:val="Compact"/>
            </w:pPr>
            <w:r>
              <w:t xml:space="preserve">Product is authorized</w:t>
            </w:r>
            <w:r>
              <w:t xml:space="preserve"> </w:t>
            </w:r>
            <w:r>
              <w:rPr>
                <w:b/>
                <w:bCs/>
              </w:rPr>
              <w:t xml:space="preserve">Class D (High) only</w:t>
            </w:r>
            <w:r>
              <w:t xml:space="preserve">, no Moderate offering</w:t>
            </w:r>
          </w:p>
        </w:tc>
        <w:tc>
          <w:tcPr/>
          <w:p>
            <w:pPr>
              <w:pStyle w:val="Compact"/>
            </w:pPr>
            <w:r>
              <w:t xml:space="preserve">⚠️</w:t>
            </w:r>
            <w:r>
              <w:t xml:space="preserve"> </w:t>
            </w:r>
            <w:r>
              <w:rPr>
                <w:b/>
                <w:bCs/>
              </w:rPr>
              <w:t xml:space="preserve">Flag</w:t>
            </w:r>
            <w:r>
              <w:t xml:space="preserve"> </w:t>
            </w:r>
            <w:r>
              <w:t xml:space="preserve">— High exceeds Moderate technically, but the Agency target is Moderate; confirm boundary treatment or seek a Moderate-authorized alternative</w:t>
            </w:r>
          </w:p>
        </w:tc>
      </w:tr>
      <w:tr>
        <w:tc>
          <w:tcPr/>
          <w:p>
            <w:pPr>
              <w:pStyle w:val="Compact"/>
            </w:pPr>
            <w:r>
              <w:t xml:space="preserve">Product is</w:t>
            </w:r>
            <w:r>
              <w:t xml:space="preserve"> </w:t>
            </w:r>
            <w:r>
              <w:rPr>
                <w:b/>
                <w:bCs/>
              </w:rPr>
              <w:t xml:space="preserve">on-premises gear</w:t>
            </w:r>
            <w:r>
              <w:t xml:space="preserve"> </w:t>
            </w:r>
            <w:r>
              <w:t xml:space="preserve">(appliance/firmware), not a CSP service</w:t>
            </w:r>
          </w:p>
        </w:tc>
        <w:tc>
          <w:tcPr/>
          <w:p>
            <w:pPr>
              <w:pStyle w:val="Compact"/>
            </w:pPr>
            <w:r>
              <w:t xml:space="preserve">↪️ Not a FedRAMP item — accredit via</w:t>
            </w:r>
            <w:r>
              <w:t xml:space="preserve"> </w:t>
            </w:r>
            <w:r>
              <w:rPr>
                <w:b/>
                <w:bCs/>
              </w:rPr>
              <w:t xml:space="preserve">NIAP CC + DISA STIG + FIPS 140-3 + DoDIN APL</w:t>
            </w:r>
            <w:r>
              <w:t xml:space="preserve"> </w:t>
            </w:r>
            <w:r>
              <w:t xml:space="preserve">(see the Network Enforcement Substrate book, Theme F)</w:t>
            </w:r>
          </w:p>
        </w:tc>
      </w:tr>
      <w:tr>
        <w:tc>
          <w:tcPr/>
          <w:p>
            <w:pPr>
              <w:pStyle w:val="Compact"/>
            </w:pPr>
            <w:r>
              <w:t xml:space="preserve">Product is</w:t>
            </w:r>
            <w:r>
              <w:t xml:space="preserve"> </w:t>
            </w:r>
            <w:r>
              <w:rPr>
                <w:b/>
                <w:bCs/>
              </w:rPr>
              <w:t xml:space="preserve">not FedRAMP authorized</w:t>
            </w:r>
            <w:r>
              <w:t xml:space="preserve"> </w:t>
            </w:r>
            <w:r>
              <w:t xml:space="preserve">(commercial SaaS)</w:t>
            </w:r>
          </w:p>
        </w:tc>
        <w:tc>
          <w:tcPr/>
          <w:p>
            <w:pPr>
              <w:pStyle w:val="Compact"/>
            </w:pPr>
            <w:r>
              <w:t xml:space="preserve">❌</w:t>
            </w:r>
            <w:r>
              <w:t xml:space="preserve"> </w:t>
            </w:r>
            <w:r>
              <w:rPr>
                <w:b/>
                <w:bCs/>
              </w:rPr>
              <w:t xml:space="preserve">Flag</w:t>
            </w:r>
            <w:r>
              <w:t xml:space="preserve"> </w:t>
            </w:r>
            <w:r>
              <w:t xml:space="preserve">— not eligible as an in-boundary Agency dependency; find a Government/GovCloud edition or replace</w:t>
            </w:r>
          </w:p>
        </w:tc>
      </w:tr>
    </w:tbl>
    <w:p>
      <w:pPr>
        <w:pStyle w:val="BodyText"/>
      </w:pPr>
      <w:r>
        <w:rPr>
          <w:b/>
          <w:bCs/>
        </w:rPr>
        <w:t xml:space="preserve">FedRAMP nomenclature (current).</w:t>
      </w:r>
      <w:r>
        <w:t xml:space="preserve"> </w:t>
      </w:r>
      <w:r>
        <w:t xml:space="preserve">The</w:t>
      </w:r>
      <w:r>
        <w:t xml:space="preserve"> </w:t>
      </w:r>
      <w:r>
        <w:rPr>
          <w:b/>
          <w:bCs/>
        </w:rPr>
        <w:t xml:space="preserve">“FedRAMP Certified”</w:t>
      </w:r>
      <w:r>
        <w:t xml:space="preserve"> </w:t>
      </w:r>
      <w:r>
        <w:t xml:space="preserve">nomenclature —</w:t>
      </w:r>
      <w:r>
        <w:t xml:space="preserve"> </w:t>
      </w:r>
      <w:r>
        <w:t xml:space="preserve">with impact classes</w:t>
      </w:r>
      <w:r>
        <w:t xml:space="preserve"> </w:t>
      </w:r>
      <w:r>
        <w:rPr>
          <w:b/>
          <w:bCs/>
        </w:rPr>
        <w:t xml:space="preserve">Class C = Moderate</w:t>
      </w:r>
      <w:r>
        <w:t xml:space="preserve"> </w:t>
      </w:r>
      <w:r>
        <w:t xml:space="preserve">and</w:t>
      </w:r>
      <w:r>
        <w:t xml:space="preserve"> </w:t>
      </w:r>
      <w:r>
        <w:rPr>
          <w:b/>
          <w:bCs/>
        </w:rPr>
        <w:t xml:space="preserve">Class D = High</w:t>
      </w:r>
      <w:r>
        <w:t xml:space="preserve"> </w:t>
      </w:r>
      <w:r>
        <w:t xml:space="preserve">— was</w:t>
      </w:r>
      <w:r>
        <w:t xml:space="preserve"> </w:t>
      </w:r>
      <w:r>
        <w:t xml:space="preserve">introduced in the May 4, 2026 CR26 public preview and launched with the</w:t>
      </w:r>
      <w:r>
        <w:t xml:space="preserve"> </w:t>
      </w:r>
      <w:r>
        <w:t xml:space="preserve">Consolidated Rules on June 25, 2026; it becomes mandatory January 1, 2027.</w:t>
      </w:r>
      <w:r>
        <w:t xml:space="preserve"> </w:t>
      </w:r>
      <w:r>
        <w:t xml:space="preserve">This document says</w:t>
      </w:r>
      <w:r>
        <w:t xml:space="preserve"> </w:t>
      </w:r>
      <w:r>
        <w:t xml:space="preserve">“Class C (Moderate)”</w:t>
      </w:r>
      <w:r>
        <w:t xml:space="preserve"> </w:t>
      </w:r>
      <w:r>
        <w:t xml:space="preserve">for the Agency requirement and flags</w:t>
      </w:r>
      <w:r>
        <w:t xml:space="preserve"> </w:t>
      </w:r>
      <w:r>
        <w:t xml:space="preserve">“Class</w:t>
      </w:r>
      <w:r>
        <w:t xml:space="preserve"> </w:t>
      </w:r>
      <w:r>
        <w:t xml:space="preserve">D (High)-only.”</w:t>
      </w:r>
      <w:r>
        <w:t xml:space="preserve"> </w:t>
      </w:r>
      <w:r>
        <w:t xml:space="preserve">Verify every status on the</w:t>
      </w:r>
      <w:r>
        <w:t xml:space="preserve"> </w:t>
      </w:r>
      <w:r>
        <w:rPr>
          <w:b/>
          <w:bCs/>
        </w:rPr>
        <w:t xml:space="preserve">FedRAMP Marketplace</w:t>
      </w:r>
      <w:r>
        <w:t xml:space="preserve"> </w:t>
      </w:r>
      <w:r>
        <w:t xml:space="preserve">at the time</w:t>
      </w:r>
      <w:r>
        <w:t xml:space="preserve"> </w:t>
      </w:r>
      <w:r>
        <w:t xml:space="preserve">of any authorization or procurement decision — authorizations change.</w:t>
      </w:r>
    </w:p>
    <w:bookmarkStart w:id="91" w:name="X9891969c06821a9e2e7e3f7468066b2ac623646"/>
    <w:p>
      <w:pPr>
        <w:pStyle w:val="Heading2"/>
      </w:pPr>
      <w:r>
        <w:t xml:space="preserve">Selection principle — Microsoft-suite preference is earned, not automatic</w:t>
      </w:r>
    </w:p>
    <w:p>
      <w:pPr>
        <w:pStyle w:val="FirstParagraph"/>
      </w:pPr>
      <w:r>
        <w:t xml:space="preserve">The agency holds a large Microsoft enterprise agreement, so a Microsoft product</w:t>
      </w:r>
      <w:r>
        <w:t xml:space="preserve"> </w:t>
      </w:r>
      <w:r>
        <w:t xml:space="preserve">is the</w:t>
      </w:r>
      <w:r>
        <w:t xml:space="preserve"> </w:t>
      </w:r>
      <w:r>
        <w:rPr>
          <w:b/>
          <w:bCs/>
        </w:rPr>
        <w:t xml:space="preserve">default candidate</w:t>
      </w:r>
      <w:r>
        <w:t xml:space="preserve"> </w:t>
      </w:r>
      <w:r>
        <w:t xml:space="preserve">for any role</w:t>
      </w:r>
      <w:r>
        <w:t xml:space="preserve"> </w:t>
      </w:r>
      <w:r>
        <w:rPr>
          <w:b/>
          <w:bCs/>
        </w:rPr>
        <w:t xml:space="preserve">when it genuinely coordinates the</w:t>
      </w:r>
      <w:r>
        <w:rPr>
          <w:b/>
          <w:bCs/>
        </w:rPr>
        <w:t xml:space="preserve"> </w:t>
      </w:r>
      <w:r>
        <w:rPr>
          <w:b/>
          <w:bCs/>
        </w:rPr>
        <w:t xml:space="preserve">multi-vendor surface (CSP + NEM + OS) at FedRAMP Moderate</w:t>
      </w:r>
      <w:r>
        <w:t xml:space="preserve"> </w:t>
      </w:r>
      <w:r>
        <w:t xml:space="preserve">— e.g., Sentinel</w:t>
      </w:r>
      <w:r>
        <w:t xml:space="preserve"> </w:t>
      </w:r>
      <w:r>
        <w:t xml:space="preserve">ingesting AWS/OCI/NEM telemetry, or Defender for Cloud as a multi-cloud CNAPP.</w:t>
      </w:r>
      <w:r>
        <w:t xml:space="preserve"> </w:t>
      </w:r>
      <w:r>
        <w:t xml:space="preserve">Preference is earned by demonstrated cross-vendor coordination,</w:t>
      </w:r>
      <w:r>
        <w:t xml:space="preserve"> </w:t>
      </w:r>
      <w:r>
        <w:rPr>
          <w:b/>
          <w:bCs/>
        </w:rPr>
        <w:t xml:space="preserve">not</w:t>
      </w:r>
      <w:r>
        <w:t xml:space="preserve"> </w:t>
      </w:r>
      <w:r>
        <w:t xml:space="preserve">by</w:t>
      </w:r>
      <w:r>
        <w:t xml:space="preserve"> </w:t>
      </w:r>
      <w:r>
        <w:t xml:space="preserve">ownership: where a Microsoft product coordinates only Microsoft surfaces or</w:t>
      </w:r>
      <w:r>
        <w:t xml:space="preserve"> </w:t>
      </w:r>
      <w:r>
        <w:t xml:space="preserve">cannot reach the surface (e.g., Azure Arc cannot patch ESXi), the best</w:t>
      </w:r>
      <w:r>
        <w:t xml:space="preserve"> </w:t>
      </w:r>
      <w:r>
        <w:t xml:space="preserve">cross-vendor coordinator at Moderate wins.</w:t>
      </w:r>
    </w:p>
    <w:bookmarkEnd w:id="91"/>
    <w:bookmarkEnd w:id="92"/>
    <w:bookmarkStart w:id="93" w:name="known-ssa"/>
    <w:p>
      <w:pPr>
        <w:pStyle w:val="Heading1"/>
      </w:pPr>
      <w:r>
        <w:t xml:space="preserve">Pre-Filled Inventory — Agency Edition Only</w:t>
      </w:r>
    </w:p>
    <w:p>
      <w:pPr>
        <w:pStyle w:val="FirstParagraph"/>
      </w:pPr>
      <w:r>
        <w:rPr>
          <w:i/>
          <w:iCs/>
        </w:rPr>
        <w:t xml:space="preserve">This instrument ships empty on purpose.</w:t>
      </w:r>
      <w:r>
        <w:t xml:space="preserve"> </w:t>
      </w:r>
      <w:r>
        <w:t xml:space="preserve">An agency edition may carry a pre-filled</w:t>
      </w:r>
      <w:r>
        <w:t xml:space="preserve"> </w:t>
      </w:r>
      <w:r>
        <w:t xml:space="preserve">block here: its confirmed tools, each with a verified FedRAMP status and a</w:t>
      </w:r>
      <w:r>
        <w:t xml:space="preserve"> </w:t>
      </w:r>
      <w:r>
        <w:t xml:space="preserve">disposition under §2. The federal edition does not, because a pre-filled inventory</w:t>
      </w:r>
      <w:r>
        <w:t xml:space="preserve"> </w:t>
      </w:r>
      <w:r>
        <w:t xml:space="preserve">answers §4 before the reader starts — and the reader’s own estate is the point.</w:t>
      </w:r>
    </w:p>
    <w:p>
      <w:pPr>
        <w:pStyle w:val="BodyText"/>
      </w:pPr>
      <w:r>
        <w:t xml:space="preserve">To build one: complete §4 against your estate, verify each product’s FedRAMP status</w:t>
      </w:r>
      <w:r>
        <w:t xml:space="preserve"> </w:t>
      </w:r>
      <w:r>
        <w:t xml:space="preserve">on the Marketplace, then record the disposition §2 forces for anything below your</w:t>
      </w:r>
      <w:r>
        <w:t xml:space="preserve"> </w:t>
      </w:r>
      <w:r>
        <w:t xml:space="preserve">boundary level. That filled block is agency-specific and belongs with your edition,</w:t>
      </w:r>
      <w:r>
        <w:t xml:space="preserve"> </w:t>
      </w:r>
      <w:r>
        <w:t xml:space="preserve">not in the published instrument.</w:t>
      </w:r>
    </w:p>
    <w:bookmarkEnd w:id="93"/>
    <w:bookmarkStart w:id="101" w:name="discovery"/>
    <w:p>
      <w:pPr>
        <w:pStyle w:val="Heading1"/>
      </w:pPr>
      <w:r>
        <w:t xml:space="preserve">The Discovery Questionnaire</w:t>
      </w:r>
    </w:p>
    <w:p>
      <w:pPr>
        <w:pStyle w:val="FirstParagraph"/>
      </w:pPr>
      <w:r>
        <w:t xml:space="preserve">For each category: mark</w:t>
      </w:r>
      <w:r>
        <w:t xml:space="preserve"> </w:t>
      </w:r>
      <w:r>
        <w:rPr>
          <w:i/>
          <w:iCs/>
        </w:rPr>
        <w:t xml:space="preserve">In use?</w:t>
      </w:r>
      <w:r>
        <w:t xml:space="preserve">, name the</w:t>
      </w:r>
      <w:r>
        <w:t xml:space="preserve"> </w:t>
      </w:r>
      <w:r>
        <w:rPr>
          <w:i/>
          <w:iCs/>
        </w:rPr>
        <w:t xml:space="preserve">Product &amp; offering</w:t>
      </w:r>
      <w:r>
        <w:t xml:space="preserve">, record</w:t>
      </w:r>
      <w:r>
        <w:t xml:space="preserve"> </w:t>
      </w:r>
      <w:r>
        <w:rPr>
          <w:i/>
          <w:iCs/>
        </w:rPr>
        <w:t xml:space="preserve">FedRAMP status</w:t>
      </w:r>
      <w:r>
        <w:t xml:space="preserve"> </w:t>
      </w:r>
      <w:r>
        <w:t xml:space="preserve">(Class C required for Agency per §2), and the</w:t>
      </w:r>
      <w:r>
        <w:t xml:space="preserve"> </w:t>
      </w:r>
      <w:r>
        <w:rPr>
          <w:i/>
          <w:iCs/>
        </w:rPr>
        <w:t xml:space="preserve">Deployment surface</w:t>
      </w:r>
      <w:r>
        <w:t xml:space="preserve"> </w:t>
      </w:r>
      <w:r>
        <w:t xml:space="preserve">(CSP / NEM / OS / cross). The</w:t>
      </w:r>
      <w:r>
        <w:t xml:space="preserve"> </w:t>
      </w:r>
      <w:r>
        <w:rPr>
          <w:i/>
          <w:iCs/>
        </w:rPr>
        <w:t xml:space="preserve">Maps to</w:t>
      </w:r>
      <w:r>
        <w:t xml:space="preserve"> </w:t>
      </w:r>
      <w:r>
        <w:t xml:space="preserve">column is pre-filled.</w:t>
      </w:r>
    </w:p>
    <w:bookmarkStart w:id="94" w:name="volume-i-foundation-transport"/>
    <w:p>
      <w:pPr>
        <w:pStyle w:val="Heading2"/>
      </w:pPr>
      <w:r>
        <w:t xml:space="preserve">Volume I — Foundation &amp; Transport</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Cloud platforms (CSP)</w:t>
            </w:r>
          </w:p>
        </w:tc>
        <w:tc>
          <w:tcPr/>
          <w:p>
            <w:pPr>
              <w:pStyle w:val="Compact"/>
            </w:pPr>
            <w:r>
              <w:t xml:space="preserve">Azure/M365 GCC, AWS GovCloud, OCI, GCP, VMware Cloud</w:t>
            </w:r>
          </w:p>
        </w:tc>
        <w:tc>
          <w:tcPr/>
          <w:p>
            <w:pPr>
              <w:pStyle w:val="Compact"/>
            </w:pPr>
          </w:p>
        </w:tc>
        <w:tc>
          <w:tcPr/>
          <w:p>
            <w:pPr>
              <w:pStyle w:val="Compact"/>
            </w:pPr>
          </w:p>
        </w:tc>
        <w:tc>
          <w:tcPr/>
          <w:p>
            <w:pPr>
              <w:pStyle w:val="Compact"/>
            </w:pPr>
          </w:p>
        </w:tc>
        <w:tc>
          <w:tcPr/>
          <w:p>
            <w:pPr>
              <w:pStyle w:val="Compact"/>
            </w:pPr>
          </w:p>
        </w:tc>
        <w:tc>
          <w:tcPr/>
          <w:p>
            <w:pPr>
              <w:pStyle w:val="Compact"/>
            </w:pPr>
            <w:r>
              <w:t xml:space="preserve">Landing Zone · all planes</w:t>
            </w:r>
          </w:p>
        </w:tc>
      </w:tr>
      <w:tr>
        <w:tc>
          <w:tcPr/>
          <w:p>
            <w:pPr>
              <w:pStyle w:val="Compact"/>
            </w:pPr>
            <w:r>
              <w:t xml:space="preserve">Naming &amp; addressing (DDI/IPAM)</w:t>
            </w:r>
          </w:p>
        </w:tc>
        <w:tc>
          <w:tcPr/>
          <w:p>
            <w:pPr>
              <w:pStyle w:val="Compact"/>
            </w:pPr>
            <w:r>
              <w:t xml:space="preserve">InfoBlox, BlueCat, NetBox</w:t>
            </w:r>
          </w:p>
        </w:tc>
        <w:tc>
          <w:tcPr/>
          <w:p>
            <w:pPr>
              <w:pStyle w:val="Compact"/>
            </w:pPr>
          </w:p>
        </w:tc>
        <w:tc>
          <w:tcPr/>
          <w:p>
            <w:pPr>
              <w:pStyle w:val="Compact"/>
            </w:pPr>
          </w:p>
        </w:tc>
        <w:tc>
          <w:tcPr/>
          <w:p>
            <w:pPr>
              <w:pStyle w:val="Compact"/>
            </w:pPr>
          </w:p>
        </w:tc>
        <w:tc>
          <w:tcPr/>
          <w:p>
            <w:pPr>
              <w:pStyle w:val="Compact"/>
            </w:pPr>
          </w:p>
        </w:tc>
        <w:tc>
          <w:tcPr/>
          <w:p>
            <w:pPr>
              <w:pStyle w:val="Compact"/>
            </w:pPr>
            <w:r>
              <w:t xml:space="preserve">Landing Zone · plane 2</w:t>
            </w:r>
          </w:p>
        </w:tc>
      </w:tr>
      <w:tr>
        <w:tc>
          <w:tcPr/>
          <w:p>
            <w:pPr>
              <w:pStyle w:val="Compact"/>
            </w:pPr>
            <w:r>
              <w:t xml:space="preserve">Certificates / PKI</w:t>
            </w:r>
          </w:p>
        </w:tc>
        <w:tc>
          <w:tcPr/>
          <w:p>
            <w:pPr>
              <w:pStyle w:val="Compact"/>
            </w:pPr>
            <w:r>
              <w:t xml:space="preserve">ADCS, Entrust, DigiCert, Venafi</w:t>
            </w:r>
          </w:p>
        </w:tc>
        <w:tc>
          <w:tcPr/>
          <w:p>
            <w:pPr>
              <w:pStyle w:val="Compact"/>
            </w:pPr>
          </w:p>
        </w:tc>
        <w:tc>
          <w:tcPr/>
          <w:p>
            <w:pPr>
              <w:pStyle w:val="Compact"/>
            </w:pPr>
          </w:p>
        </w:tc>
        <w:tc>
          <w:tcPr/>
          <w:p>
            <w:pPr>
              <w:pStyle w:val="Compact"/>
            </w:pPr>
          </w:p>
        </w:tc>
        <w:tc>
          <w:tcPr/>
          <w:p>
            <w:pPr>
              <w:pStyle w:val="Compact"/>
            </w:pPr>
          </w:p>
        </w:tc>
        <w:tc>
          <w:tcPr/>
          <w:p>
            <w:pPr>
              <w:pStyle w:val="Compact"/>
            </w:pPr>
            <w:r>
              <w:t xml:space="preserve">Certs &amp; Tokens · plane 2</w:t>
            </w:r>
          </w:p>
        </w:tc>
      </w:tr>
      <w:tr>
        <w:tc>
          <w:tcPr/>
          <w:p>
            <w:pPr>
              <w:pStyle w:val="Compact"/>
            </w:pPr>
            <w:r>
              <w:t xml:space="preserve">HR system of record</w:t>
            </w:r>
          </w:p>
        </w:tc>
        <w:tc>
          <w:tcPr/>
          <w:p>
            <w:pPr>
              <w:pStyle w:val="Compact"/>
            </w:pPr>
            <w:r>
              <w:t xml:space="preserve">Oracle HCM, Workday, SAP SuccessFactors</w:t>
            </w:r>
          </w:p>
        </w:tc>
        <w:tc>
          <w:tcPr/>
          <w:p>
            <w:pPr>
              <w:pStyle w:val="Compact"/>
            </w:pPr>
          </w:p>
        </w:tc>
        <w:tc>
          <w:tcPr/>
          <w:p>
            <w:pPr>
              <w:pStyle w:val="Compact"/>
            </w:pPr>
          </w:p>
        </w:tc>
        <w:tc>
          <w:tcPr/>
          <w:p>
            <w:pPr>
              <w:pStyle w:val="Compact"/>
            </w:pPr>
          </w:p>
        </w:tc>
        <w:tc>
          <w:tcPr/>
          <w:p>
            <w:pPr>
              <w:pStyle w:val="Compact"/>
            </w:pPr>
          </w:p>
        </w:tc>
        <w:tc>
          <w:tcPr/>
          <w:p>
            <w:pPr>
              <w:pStyle w:val="Compact"/>
            </w:pPr>
            <w:r>
              <w:t xml:space="preserve">HRIT · plane 3</w:t>
            </w:r>
          </w:p>
        </w:tc>
      </w:tr>
      <w:tr>
        <w:tc>
          <w:tcPr/>
          <w:p>
            <w:pPr>
              <w:pStyle w:val="Compact"/>
            </w:pPr>
            <w:r>
              <w:t xml:space="preserve">Directory &amp; IdP</w:t>
            </w:r>
          </w:p>
        </w:tc>
        <w:tc>
          <w:tcPr/>
          <w:p>
            <w:pPr>
              <w:pStyle w:val="Compact"/>
            </w:pPr>
            <w:r>
              <w:t xml:space="preserve">Entra ID, Okta, Ping, on-prem AD</w:t>
            </w:r>
          </w:p>
        </w:tc>
        <w:tc>
          <w:tcPr/>
          <w:p>
            <w:pPr>
              <w:pStyle w:val="Compact"/>
            </w:pPr>
          </w:p>
        </w:tc>
        <w:tc>
          <w:tcPr/>
          <w:p>
            <w:pPr>
              <w:pStyle w:val="Compact"/>
            </w:pPr>
          </w:p>
        </w:tc>
        <w:tc>
          <w:tcPr/>
          <w:p>
            <w:pPr>
              <w:pStyle w:val="Compact"/>
            </w:pPr>
          </w:p>
        </w:tc>
        <w:tc>
          <w:tcPr/>
          <w:p>
            <w:pPr>
              <w:pStyle w:val="Compact"/>
            </w:pPr>
          </w:p>
        </w:tc>
        <w:tc>
          <w:tcPr/>
          <w:p>
            <w:pPr>
              <w:pStyle w:val="Compact"/>
            </w:pPr>
            <w:r>
              <w:t xml:space="preserve">Network Modernization · plane 3</w:t>
            </w:r>
          </w:p>
        </w:tc>
      </w:tr>
      <w:tr>
        <w:tc>
          <w:tcPr/>
          <w:p>
            <w:pPr>
              <w:pStyle w:val="Compact"/>
            </w:pPr>
            <w:r>
              <w:t xml:space="preserve">Network equipment (NEM)</w:t>
            </w:r>
          </w:p>
        </w:tc>
        <w:tc>
          <w:tcPr/>
          <w:p>
            <w:pPr>
              <w:pStyle w:val="Compact"/>
            </w:pPr>
            <w:r>
              <w:t xml:space="preserve">Cisco, Palo Alto, Juniper, Fortinet, Arista</w:t>
            </w:r>
          </w:p>
        </w:tc>
        <w:tc>
          <w:tcPr/>
          <w:p>
            <w:pPr>
              <w:pStyle w:val="Compact"/>
            </w:pPr>
          </w:p>
        </w:tc>
        <w:tc>
          <w:tcPr/>
          <w:p>
            <w:pPr>
              <w:pStyle w:val="Compact"/>
            </w:pPr>
          </w:p>
        </w:tc>
        <w:tc>
          <w:tcPr/>
          <w:p>
            <w:pPr>
              <w:pStyle w:val="Compact"/>
            </w:pPr>
          </w:p>
        </w:tc>
        <w:tc>
          <w:tcPr/>
          <w:p>
            <w:pPr>
              <w:pStyle w:val="Compact"/>
            </w:pPr>
            <w:r>
              <w:t xml:space="preserve">NEM</w:t>
            </w:r>
          </w:p>
        </w:tc>
        <w:tc>
          <w:tcPr/>
          <w:p>
            <w:pPr>
              <w:pStyle w:val="Compact"/>
            </w:pPr>
            <w:r>
              <w:t xml:space="preserve">Network Enforcement Substrate · plane 1/4</w:t>
            </w:r>
          </w:p>
        </w:tc>
      </w:tr>
      <w:tr>
        <w:tc>
          <w:tcPr/>
          <w:p>
            <w:pPr>
              <w:pStyle w:val="Compact"/>
            </w:pPr>
            <w:r>
              <w:t xml:space="preserve">NAC</w:t>
            </w:r>
          </w:p>
        </w:tc>
        <w:tc>
          <w:tcPr/>
          <w:p>
            <w:pPr>
              <w:pStyle w:val="Compact"/>
            </w:pPr>
            <w:r>
              <w:t xml:space="preserve">Cisco ISE, Aruba ClearPass, Juniper Mist</w:t>
            </w:r>
          </w:p>
        </w:tc>
        <w:tc>
          <w:tcPr/>
          <w:p>
            <w:pPr>
              <w:pStyle w:val="Compact"/>
            </w:pPr>
          </w:p>
        </w:tc>
        <w:tc>
          <w:tcPr/>
          <w:p>
            <w:pPr>
              <w:pStyle w:val="Compact"/>
            </w:pPr>
          </w:p>
        </w:tc>
        <w:tc>
          <w:tcPr/>
          <w:p>
            <w:pPr>
              <w:pStyle w:val="Compact"/>
            </w:pPr>
          </w:p>
        </w:tc>
        <w:tc>
          <w:tcPr/>
          <w:p>
            <w:pPr>
              <w:pStyle w:val="Compact"/>
            </w:pPr>
            <w:r>
              <w:t xml:space="preserve">NEM</w:t>
            </w:r>
          </w:p>
        </w:tc>
        <w:tc>
          <w:tcPr/>
          <w:p>
            <w:pPr>
              <w:pStyle w:val="Compact"/>
            </w:pPr>
            <w:r>
              <w:t xml:space="preserve">NAC / Network Enforcement · plane 3</w:t>
            </w:r>
          </w:p>
        </w:tc>
      </w:tr>
      <w:tr>
        <w:tc>
          <w:tcPr/>
          <w:p>
            <w:pPr>
              <w:pStyle w:val="Compact"/>
            </w:pPr>
            <w:r>
              <w:t xml:space="preserve">SD-WAN / SASE</w:t>
            </w:r>
          </w:p>
        </w:tc>
        <w:tc>
          <w:tcPr/>
          <w:p>
            <w:pPr>
              <w:pStyle w:val="Compact"/>
            </w:pPr>
            <w:r>
              <w:t xml:space="preserve">Catalyst SD-WAN, Prisma SASE, Zscaler, Netskope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Network Mod / Telecom · plane 1/4</w:t>
            </w:r>
          </w:p>
        </w:tc>
      </w:tr>
      <w:tr>
        <w:tc>
          <w:tcPr/>
          <w:p>
            <w:pPr>
              <w:pStyle w:val="Compact"/>
            </w:pPr>
            <w:r>
              <w:t xml:space="preserve">Network performance / observability / WAN-opt</w:t>
            </w:r>
          </w:p>
        </w:tc>
        <w:tc>
          <w:tcPr/>
          <w:p>
            <w:pPr>
              <w:pStyle w:val="Compact"/>
            </w:pPr>
            <w:r>
              <w:t xml:space="preserve">Riverbed, ThousandEyes, Kentik, SolarWinds</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Transport telemetry (SI-4/CA-7) · plane 6</w:t>
            </w:r>
          </w:p>
        </w:tc>
      </w:tr>
      <w:tr>
        <w:tc>
          <w:tcPr/>
          <w:p>
            <w:pPr>
              <w:pStyle w:val="Compact"/>
            </w:pPr>
            <w:r>
              <w:t xml:space="preserve">Contact center / UC</w:t>
            </w:r>
          </w:p>
        </w:tc>
        <w:tc>
          <w:tcPr/>
          <w:p>
            <w:pPr>
              <w:pStyle w:val="Compact"/>
            </w:pPr>
            <w:r>
              <w:t xml:space="preserve">Amazon Connect, Teams Phone</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Telecommunications · plane 5</w:t>
            </w:r>
          </w:p>
        </w:tc>
      </w:tr>
    </w:tbl>
    <w:bookmarkEnd w:id="94"/>
    <w:bookmarkStart w:id="95" w:name="volume-ii-data-platform"/>
    <w:p>
      <w:pPr>
        <w:pStyle w:val="Heading2"/>
      </w:pPr>
      <w:r>
        <w:t xml:space="preserve">Volume II — Data Platform</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Database platforms</w:t>
            </w:r>
          </w:p>
        </w:tc>
        <w:tc>
          <w:tcPr/>
          <w:p>
            <w:pPr>
              <w:pStyle w:val="Compact"/>
            </w:pPr>
            <w:r>
              <w:t xml:space="preserve">SQL Server, Oracle DB, PostgreSQL/RDS, Azure SQL</w:t>
            </w:r>
          </w:p>
        </w:tc>
        <w:tc>
          <w:tcPr/>
          <w:p>
            <w:pPr>
              <w:pStyle w:val="Compact"/>
            </w:pPr>
          </w:p>
        </w:tc>
        <w:tc>
          <w:tcPr/>
          <w:p>
            <w:pPr>
              <w:pStyle w:val="Compact"/>
            </w:pPr>
          </w:p>
        </w:tc>
        <w:tc>
          <w:tcPr/>
          <w:p>
            <w:pPr>
              <w:pStyle w:val="Compact"/>
            </w:pPr>
          </w:p>
        </w:tc>
        <w:tc>
          <w:tcPr/>
          <w:p>
            <w:pPr>
              <w:pStyle w:val="Compact"/>
            </w:pPr>
            <w:r>
              <w:t xml:space="preserve">CSP/OS</w:t>
            </w:r>
          </w:p>
        </w:tc>
        <w:tc>
          <w:tcPr/>
          <w:p>
            <w:pPr>
              <w:pStyle w:val="Compact"/>
            </w:pPr>
            <w:r>
              <w:t xml:space="preserve">SQL &amp; DB books · plane 5</w:t>
            </w:r>
          </w:p>
        </w:tc>
      </w:tr>
      <w:tr>
        <w:tc>
          <w:tcPr/>
          <w:p>
            <w:pPr>
              <w:pStyle w:val="Compact"/>
            </w:pPr>
            <w:r>
              <w:t xml:space="preserve">Database auth modernization</w:t>
            </w:r>
          </w:p>
        </w:tc>
        <w:tc>
          <w:tcPr/>
          <w:p>
            <w:pPr>
              <w:pStyle w:val="Compact"/>
            </w:pPr>
            <w:r>
              <w:t xml:space="preserve">Azure Arc + Entra for SQL, IAM DB auth</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SQL Auth book · plane 3</w:t>
            </w:r>
          </w:p>
        </w:tc>
      </w:tr>
    </w:tbl>
    <w:bookmarkEnd w:id="95"/>
    <w:bookmarkStart w:id="96" w:name="volume-iii-security-operations"/>
    <w:p>
      <w:pPr>
        <w:pStyle w:val="Heading2"/>
      </w:pPr>
      <w:r>
        <w:t xml:space="preserve">Volume III — Security Operations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Privileged access (PAM)</w:t>
            </w:r>
          </w:p>
        </w:tc>
        <w:tc>
          <w:tcPr/>
          <w:p>
            <w:pPr>
              <w:pStyle w:val="Compact"/>
            </w:pPr>
            <w:r>
              <w:t xml:space="preserve">Entra PIM, CyberArk, BeyondTrust, Delinea, SailPoint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PAM book · plane 3</w:t>
            </w:r>
          </w:p>
        </w:tc>
      </w:tr>
      <w:tr>
        <w:tc>
          <w:tcPr/>
          <w:p>
            <w:pPr>
              <w:pStyle w:val="Compact"/>
            </w:pPr>
            <w:r>
              <w:t xml:space="preserve">Vulnerability assessment</w:t>
            </w:r>
          </w:p>
        </w:tc>
        <w:tc>
          <w:tcPr/>
          <w:p>
            <w:pPr>
              <w:pStyle w:val="Compact"/>
            </w:pPr>
            <w:r>
              <w:t xml:space="preserve">Defender VM, Tenable, Qualys, Rapid7, Amazon Inspector</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Vulnerability Mgmt · plane 6</w:t>
            </w:r>
          </w:p>
        </w:tc>
      </w:tr>
      <w:tr>
        <w:tc>
          <w:tcPr/>
          <w:p>
            <w:pPr>
              <w:pStyle w:val="Compact"/>
            </w:pPr>
            <w:r>
              <w:t xml:space="preserve">Patch / systems management</w:t>
            </w:r>
          </w:p>
        </w:tc>
        <w:tc>
          <w:tcPr/>
          <w:p>
            <w:pPr>
              <w:pStyle w:val="Compact"/>
            </w:pPr>
            <w:r>
              <w:t xml:space="preserve">Intune, SSM, Azure Update Mgr, OCI OS Mgmt Hub, vLCM, Workspace ONE, Satellite/Ansible, Tanium, BigFix, Ivanti</w:t>
            </w:r>
          </w:p>
        </w:tc>
        <w:tc>
          <w:tcPr/>
          <w:p>
            <w:pPr>
              <w:pStyle w:val="Compact"/>
            </w:pPr>
          </w:p>
        </w:tc>
        <w:tc>
          <w:tcPr/>
          <w:p>
            <w:pPr>
              <w:pStyle w:val="Compact"/>
            </w:pPr>
          </w:p>
        </w:tc>
        <w:tc>
          <w:tcPr/>
          <w:p>
            <w:pPr>
              <w:pStyle w:val="Compact"/>
            </w:pPr>
          </w:p>
        </w:tc>
        <w:tc>
          <w:tcPr/>
          <w:p>
            <w:pPr>
              <w:pStyle w:val="Compact"/>
            </w:pPr>
            <w:r>
              <w:t xml:space="preserve">OS/cross</w:t>
            </w:r>
          </w:p>
        </w:tc>
        <w:tc>
          <w:tcPr/>
          <w:p>
            <w:pPr>
              <w:pStyle w:val="Compact"/>
            </w:pPr>
            <w:r>
              <w:t xml:space="preserve">Patch &amp; Systems Mgmt · plane 7</w:t>
            </w:r>
          </w:p>
        </w:tc>
      </w:tr>
      <w:tr>
        <w:tc>
          <w:tcPr/>
          <w:p>
            <w:pPr>
              <w:pStyle w:val="Compact"/>
            </w:pPr>
            <w:r>
              <w:t xml:space="preserve">Cloud posture / CNAPP / CSPM</w:t>
            </w:r>
          </w:p>
        </w:tc>
        <w:tc>
          <w:tcPr/>
          <w:p>
            <w:pPr>
              <w:pStyle w:val="Compact"/>
            </w:pPr>
            <w:r>
              <w:t xml:space="preserve">Wiz, Prisma Cloud, Defender for Cloud, Orca</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Cloud-Native Posture · plane 6</w:t>
            </w:r>
          </w:p>
        </w:tc>
      </w:tr>
      <w:tr>
        <w:tc>
          <w:tcPr/>
          <w:p>
            <w:pPr>
              <w:pStyle w:val="Compact"/>
            </w:pPr>
            <w:r>
              <w:t xml:space="preserve">Container / K8s platform &amp; security</w:t>
            </w:r>
          </w:p>
        </w:tc>
        <w:tc>
          <w:tcPr/>
          <w:p>
            <w:pPr>
              <w:pStyle w:val="Compact"/>
            </w:pPr>
            <w:r>
              <w:t xml:space="preserve">AKS, EKS, OKE, OpenShift; image scanning</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Cloud-Native Posture · plane 5/6</w:t>
            </w:r>
          </w:p>
        </w:tc>
      </w:tr>
      <w:tr>
        <w:tc>
          <w:tcPr/>
          <w:p>
            <w:pPr>
              <w:pStyle w:val="Compact"/>
            </w:pPr>
            <w:r>
              <w:t xml:space="preserve">Data protection / DLP / classification</w:t>
            </w:r>
          </w:p>
        </w:tc>
        <w:tc>
          <w:tcPr/>
          <w:p>
            <w:pPr>
              <w:pStyle w:val="Compact"/>
            </w:pPr>
            <w:r>
              <w:t xml:space="preserve">Purview, AWS Macie, Symantec DLP</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Data Protection · plane 2/5</w:t>
            </w:r>
          </w:p>
        </w:tc>
      </w:tr>
      <w:tr>
        <w:tc>
          <w:tcPr/>
          <w:p>
            <w:pPr>
              <w:pStyle w:val="Compact"/>
            </w:pPr>
            <w:r>
              <w:t xml:space="preserve">Key management / HSM</w:t>
            </w:r>
          </w:p>
        </w:tc>
        <w:tc>
          <w:tcPr/>
          <w:p>
            <w:pPr>
              <w:pStyle w:val="Compact"/>
            </w:pPr>
            <w:r>
              <w:t xml:space="preserve">Azure Key Vault, AWS KMS, OCI Vault, Thales, Entrust</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Data Protection · plane 2</w:t>
            </w:r>
          </w:p>
        </w:tc>
      </w:tr>
      <w:tr>
        <w:tc>
          <w:tcPr/>
          <w:p>
            <w:pPr>
              <w:pStyle w:val="Compact"/>
            </w:pPr>
            <w:r>
              <w:t xml:space="preserve">SIEM</w:t>
            </w:r>
          </w:p>
        </w:tc>
        <w:tc>
          <w:tcPr/>
          <w:p>
            <w:pPr>
              <w:pStyle w:val="Compact"/>
            </w:pPr>
            <w:r>
              <w:t xml:space="preserve">Sentinel, Splunk, Elastic, Google SecOps, QRadar</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SIEM / Evidence Fabric · plane 6</w:t>
            </w:r>
          </w:p>
        </w:tc>
      </w:tr>
      <w:tr>
        <w:tc>
          <w:tcPr/>
          <w:p>
            <w:pPr>
              <w:pStyle w:val="Compact"/>
            </w:pPr>
            <w:r>
              <w:t xml:space="preserve">XDR / EDR</w:t>
            </w:r>
          </w:p>
        </w:tc>
        <w:tc>
          <w:tcPr/>
          <w:p>
            <w:pPr>
              <w:pStyle w:val="Compact"/>
            </w:pPr>
            <w:r>
              <w:t xml:space="preserve">Defender XDR, Cortex XDR, CrowdStrike</w:t>
            </w:r>
          </w:p>
        </w:tc>
        <w:tc>
          <w:tcPr/>
          <w:p>
            <w:pPr>
              <w:pStyle w:val="Compact"/>
            </w:pPr>
          </w:p>
        </w:tc>
        <w:tc>
          <w:tcPr/>
          <w:p>
            <w:pPr>
              <w:pStyle w:val="Compact"/>
            </w:pPr>
          </w:p>
        </w:tc>
        <w:tc>
          <w:tcPr/>
          <w:p>
            <w:pPr>
              <w:pStyle w:val="Compact"/>
            </w:pPr>
          </w:p>
        </w:tc>
        <w:tc>
          <w:tcPr/>
          <w:p>
            <w:pPr>
              <w:pStyle w:val="Compact"/>
            </w:pPr>
            <w:r>
              <w:t xml:space="preserve">OS/cross</w:t>
            </w:r>
          </w:p>
        </w:tc>
        <w:tc>
          <w:tcPr/>
          <w:p>
            <w:pPr>
              <w:pStyle w:val="Compact"/>
            </w:pPr>
            <w:r>
              <w:t xml:space="preserve">SIEM/XDR · plane 6</w:t>
            </w:r>
          </w:p>
        </w:tc>
      </w:tr>
      <w:tr>
        <w:tc>
          <w:tcPr/>
          <w:p>
            <w:pPr>
              <w:pStyle w:val="Compact"/>
            </w:pPr>
            <w:r>
              <w:t xml:space="preserve">SOAR / automation</w:t>
            </w:r>
          </w:p>
        </w:tc>
        <w:tc>
          <w:tcPr/>
          <w:p>
            <w:pPr>
              <w:pStyle w:val="Compact"/>
            </w:pPr>
            <w:r>
              <w:t xml:space="preserve">Sentinel+Logic Apps, Cortex XSOAR, Splunk SOAR, ServiceNow SecOps</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SIEM / Evidence Fabric · plane 6/7</w:t>
            </w:r>
          </w:p>
        </w:tc>
      </w:tr>
      <w:tr>
        <w:tc>
          <w:tcPr/>
          <w:p>
            <w:pPr>
              <w:pStyle w:val="Compact"/>
            </w:pPr>
            <w:r>
              <w:t xml:space="preserve">Multi-cloud evidence / coordination hub</w:t>
            </w:r>
          </w:p>
        </w:tc>
        <w:tc>
          <w:tcPr/>
          <w:p>
            <w:pPr>
              <w:pStyle w:val="Compact"/>
            </w:pPr>
            <w:r>
              <w:t xml:space="preserve">ServiceNow, BMC Helix, Jira Service Mgmt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Evidence Fabric · plane 6/7</w:t>
            </w:r>
          </w:p>
        </w:tc>
      </w:tr>
    </w:tbl>
    <w:bookmarkEnd w:id="96"/>
    <w:bookmarkStart w:id="97" w:name="volume-iv-governance-assurance"/>
    <w:p>
      <w:pPr>
        <w:pStyle w:val="Heading2"/>
      </w:pPr>
      <w:r>
        <w:t xml:space="preserve">Volume IV — Governance &amp; Assurance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Backup / BC-DR</w:t>
            </w:r>
          </w:p>
        </w:tc>
        <w:tc>
          <w:tcPr/>
          <w:p>
            <w:pPr>
              <w:pStyle w:val="Compact"/>
            </w:pPr>
            <w:r>
              <w:t xml:space="preserve">Azure Site Recovery, AWS Backup, Veeam, Commvault, Cohesity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Business Continuity · plane 7</w:t>
            </w:r>
          </w:p>
        </w:tc>
      </w:tr>
      <w:tr>
        <w:tc>
          <w:tcPr/>
          <w:p>
            <w:pPr>
              <w:pStyle w:val="Compact"/>
            </w:pPr>
            <w:r>
              <w:t xml:space="preserve">Supply chain / SBOM</w:t>
            </w:r>
          </w:p>
        </w:tc>
        <w:tc>
          <w:tcPr/>
          <w:p>
            <w:pPr>
              <w:pStyle w:val="Compact"/>
            </w:pPr>
            <w:r>
              <w:t xml:space="preserve">Syft, Grype, Anchore, Snyk</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Supply Chain Risk Mgmt</w:t>
            </w:r>
          </w:p>
        </w:tc>
      </w:tr>
      <w:tr>
        <w:tc>
          <w:tcPr/>
          <w:p>
            <w:pPr>
              <w:pStyle w:val="Compact"/>
            </w:pPr>
            <w:r>
              <w:t xml:space="preserve">Documentation / knowledge / collaboration</w:t>
            </w:r>
          </w:p>
        </w:tc>
        <w:tc>
          <w:tcPr/>
          <w:p>
            <w:pPr>
              <w:pStyle w:val="Compact"/>
            </w:pPr>
            <w:r>
              <w:t xml:space="preserve">Confluence (Atlassian Gov), SharePoint, ServiceNow KB</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Program Mgmt / evidence</w:t>
            </w:r>
          </w:p>
        </w:tc>
      </w:tr>
      <w:tr>
        <w:tc>
          <w:tcPr/>
          <w:p>
            <w:pPr>
              <w:pStyle w:val="Compact"/>
            </w:pPr>
            <w:r>
              <w:t xml:space="preserve">GRC / ConMon / OSCAL</w:t>
            </w:r>
          </w:p>
        </w:tc>
        <w:tc>
          <w:tcPr/>
          <w:p>
            <w:pPr>
              <w:pStyle w:val="Compact"/>
            </w:pPr>
            <w:r>
              <w:t xml:space="preserve">ServiceNow GRC, Xacta, eMASS, or an OSCAL-emitting governance engine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Authorization Package &amp; ConMon</w:t>
            </w:r>
          </w:p>
        </w:tc>
      </w:tr>
    </w:tbl>
    <w:bookmarkEnd w:id="97"/>
    <w:bookmarkStart w:id="98" w:name="X70e6311cde7e4fda0d07f71b619973cc65289a1"/>
    <w:p>
      <w:pPr>
        <w:pStyle w:val="Heading2"/>
      </w:pPr>
      <w:r>
        <w:t xml:space="preserve">Volume VII — ServiceNow Control-Compliance Automation</w:t>
      </w:r>
    </w:p>
    <w:p>
      <w:pPr>
        <w:pStyle w:val="FirstParagraph"/>
      </w:pPr>
      <w:r>
        <w:t xml:space="preserve">The coordination layer that turns M365/Azure control state into tracked tasks,</w:t>
      </w:r>
      <w:r>
        <w:t xml:space="preserve"> </w:t>
      </w:r>
      <w:r>
        <w:t xml:space="preserve">reviewable change, and KSI evidence. ServiceNow is a</w:t>
      </w:r>
      <w:r>
        <w:t xml:space="preserve"> </w:t>
      </w:r>
      <w:r>
        <w:rPr>
          <w:b/>
          <w:bCs/>
        </w:rPr>
        <w:t xml:space="preserve">workflow/enforcement</w:t>
      </w:r>
      <w:r>
        <w:rPr>
          <w:b/>
          <w:bCs/>
        </w:rPr>
        <w:t xml:space="preserve"> </w:t>
      </w:r>
      <w:r>
        <w:rPr>
          <w:b/>
          <w:bCs/>
        </w:rPr>
        <w:t xml:space="preserve">plane</w:t>
      </w:r>
      <w:r>
        <w:t xml:space="preserve"> </w:t>
      </w:r>
      <w:r>
        <w:t xml:space="preserve">— its CMDB</w:t>
      </w:r>
      <w:r>
        <w:t xml:space="preserve"> </w:t>
      </w:r>
      <w:r>
        <w:rPr>
          <w:i/>
          <w:iCs/>
        </w:rPr>
        <w:t xml:space="preserve">reconciles to</w:t>
      </w:r>
      <w:r>
        <w:t xml:space="preserve"> </w:t>
      </w:r>
      <w:r>
        <w:t xml:space="preserve">IPAM/DDI (CM-8), it never becomes the SSOT,</w:t>
      </w:r>
      <w:r>
        <w:t xml:space="preserve"> </w:t>
      </w:r>
      <w:r>
        <w:t xml:space="preserve">and actuation stays platform-native. Reach into cloud is via Graph/native APIs</w:t>
      </w:r>
      <w:r>
        <w:t xml:space="preserve"> </w:t>
      </w:r>
      <w:r>
        <w:t xml:space="preserve">from an</w:t>
      </w:r>
      <w:r>
        <w:t xml:space="preserve"> </w:t>
      </w:r>
      <w:r>
        <w:rPr>
          <w:b/>
          <w:bCs/>
        </w:rPr>
        <w:t xml:space="preserve">in-boundary MID Server</w:t>
      </w:r>
      <w:r>
        <w:t xml:space="preserve">, with no standing admin.</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ITSM / workflow platform</w:t>
            </w:r>
          </w:p>
        </w:tc>
        <w:tc>
          <w:tcPr/>
          <w:p>
            <w:pPr>
              <w:pStyle w:val="Compact"/>
            </w:pPr>
            <w:r>
              <w:t xml:space="preserve">ServiceNow (Government Cloud), BMC Helix, Jira Service Mgmt</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00–01 · plane 6/7</w:t>
            </w:r>
          </w:p>
        </w:tc>
      </w:tr>
      <w:tr>
        <w:tc>
          <w:tcPr/>
          <w:p>
            <w:pPr>
              <w:pStyle w:val="Compact"/>
            </w:pPr>
            <w:r>
              <w:t xml:space="preserve">CMDB / discovery</w:t>
            </w:r>
          </w:p>
        </w:tc>
        <w:tc>
          <w:tcPr/>
          <w:p>
            <w:pPr>
              <w:pStyle w:val="Compact"/>
            </w:pPr>
            <w:r>
              <w:t xml:space="preserve">ServiceNow Discovery / Service Graph, native CSP inventory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01 (reconciled to IPAM/DDI, CM-8) · plane 2</w:t>
            </w:r>
          </w:p>
        </w:tc>
      </w:tr>
      <w:tr>
        <w:tc>
          <w:tcPr/>
          <w:p>
            <w:pPr>
              <w:pStyle w:val="Compact"/>
            </w:pPr>
            <w:r>
              <w:t xml:space="preserve">M365 / Entra control test source</w:t>
            </w:r>
          </w:p>
        </w:tc>
        <w:tc>
          <w:tcPr/>
          <w:p>
            <w:pPr>
              <w:pStyle w:val="Compact"/>
            </w:pPr>
            <w:r>
              <w:t xml:space="preserve">Graph API, ScubaGear, Purview</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02 · plane 6</w:t>
            </w:r>
          </w:p>
        </w:tc>
      </w:tr>
      <w:tr>
        <w:tc>
          <w:tcPr/>
          <w:p>
            <w:pPr>
              <w:pStyle w:val="Compact"/>
            </w:pPr>
            <w:r>
              <w:t xml:space="preserve">Azure control test source</w:t>
            </w:r>
          </w:p>
        </w:tc>
        <w:tc>
          <w:tcPr/>
          <w:p>
            <w:pPr>
              <w:pStyle w:val="Compact"/>
            </w:pPr>
            <w:r>
              <w:t xml:space="preserve">Azure Policy, Defender for Cloud, Update Manager</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03 · plane 6/7</w:t>
            </w:r>
          </w:p>
        </w:tc>
      </w:tr>
      <w:tr>
        <w:tc>
          <w:tcPr/>
          <w:p>
            <w:pPr>
              <w:pStyle w:val="Compact"/>
            </w:pPr>
            <w:r>
              <w:t xml:space="preserve">GRC / IRM / attestation</w:t>
            </w:r>
          </w:p>
        </w:tc>
        <w:tc>
          <w:tcPr/>
          <w:p>
            <w:pPr>
              <w:pStyle w:val="Compact"/>
            </w:pPr>
            <w:r>
              <w:t xml:space="preserve">ServiceNow IRM/GRC, Xacta, eMASS, or an OSCAL-emitting governance engine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04 · plane 6</w:t>
            </w:r>
          </w:p>
        </w:tc>
      </w:tr>
      <w:tr>
        <w:tc>
          <w:tcPr/>
          <w:p>
            <w:pPr>
              <w:pStyle w:val="Compact"/>
            </w:pPr>
            <w:r>
              <w:t xml:space="preserve">In-boundary connector</w:t>
            </w:r>
          </w:p>
        </w:tc>
        <w:tc>
          <w:tcPr/>
          <w:p>
            <w:pPr>
              <w:pStyle w:val="Compact"/>
            </w:pPr>
            <w:r>
              <w:t xml:space="preserve">ServiceNow MID Server (in-boundary)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05 (no standing admin) · plane 6/7</w:t>
            </w:r>
          </w:p>
        </w:tc>
      </w:tr>
    </w:tbl>
    <w:bookmarkEnd w:id="98"/>
    <w:bookmarkStart w:id="99" w:name="X3d84bc2d29ff19118499559e274339d1c3fc6db"/>
    <w:p>
      <w:pPr>
        <w:pStyle w:val="Heading2"/>
      </w:pPr>
      <w:r>
        <w:t xml:space="preserve">Volume VIII — Multi-Cloud DDI Landing-Zone Automation</w:t>
      </w:r>
    </w:p>
    <w:p>
      <w:pPr>
        <w:pStyle w:val="FirstParagraph"/>
      </w:pPr>
      <w:r>
        <w:t xml:space="preserve">The authoritative naming/addressing plane realized across</w:t>
      </w:r>
      <w:r>
        <w:t xml:space="preserve"> </w:t>
      </w:r>
      <w:r>
        <w:rPr>
          <w:b/>
          <w:bCs/>
        </w:rPr>
        <w:t xml:space="preserve">Azure, AWS, GCP, OCI,</w:t>
      </w:r>
      <w:r>
        <w:rPr>
          <w:b/>
          <w:bCs/>
        </w:rPr>
        <w:t xml:space="preserve"> </w:t>
      </w:r>
      <w:r>
        <w:rPr>
          <w:b/>
          <w:bCs/>
        </w:rPr>
        <w:t xml:space="preserve">and VMware</w:t>
      </w:r>
      <w:r>
        <w:t xml:space="preserve"> </w:t>
      </w:r>
      <w:r>
        <w:t xml:space="preserve">(the one deliberate multi-CSP breadth exception, by author</w:t>
      </w:r>
      <w:r>
        <w:t xml:space="preserve"> </w:t>
      </w:r>
      <w:r>
        <w:t xml:space="preserve">direction), with ServiceNow as the governed front door for DDI change.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Multi-cloud DDI / IPAM</w:t>
            </w:r>
          </w:p>
        </w:tc>
        <w:tc>
          <w:tcPr/>
          <w:p>
            <w:pPr>
              <w:pStyle w:val="Compact"/>
            </w:pPr>
            <w:r>
              <w:t xml:space="preserve">InfoBlox DDI (Universal DDI / NIOS), BlueCat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VIII Bk 01–06 (SC-20/22, CM-8) · plane 2</w:t>
            </w:r>
          </w:p>
        </w:tc>
      </w:tr>
      <w:tr>
        <w:tc>
          <w:tcPr/>
          <w:p>
            <w:pPr>
              <w:pStyle w:val="Compact"/>
            </w:pPr>
            <w:r>
              <w:t xml:space="preserve">Cloud-native DNS/IPAM (per CSP)</w:t>
            </w:r>
          </w:p>
        </w:tc>
        <w:tc>
          <w:tcPr/>
          <w:p>
            <w:pPr>
              <w:pStyle w:val="Compact"/>
            </w:pPr>
            <w:r>
              <w:t xml:space="preserve">Azure DNS/IPAM, Route 53/VPC IPAM, Cloud DNS, OCI DNS, NSX-T DNS</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VIII Bk 01–05 (reconciled to the DDI SSOT) · plane 2</w:t>
            </w:r>
          </w:p>
        </w:tc>
      </w:tr>
      <w:tr>
        <w:tc>
          <w:tcPr/>
          <w:p>
            <w:pPr>
              <w:pStyle w:val="Compact"/>
            </w:pPr>
            <w:r>
              <w:t xml:space="preserve">IaC provisioning</w:t>
            </w:r>
          </w:p>
        </w:tc>
        <w:tc>
          <w:tcPr/>
          <w:p>
            <w:pPr>
              <w:pStyle w:val="Compact"/>
            </w:pPr>
            <w:r>
              <w:t xml:space="preserve">Terraform / OpenTofu, Bicep</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VIII Bk 08 · plane 7</w:t>
            </w:r>
          </w:p>
        </w:tc>
      </w:tr>
      <w:tr>
        <w:tc>
          <w:tcPr/>
          <w:p>
            <w:pPr>
              <w:pStyle w:val="Compact"/>
            </w:pPr>
            <w:r>
              <w:t xml:space="preserve">DDI change front door</w:t>
            </w:r>
          </w:p>
        </w:tc>
        <w:tc>
          <w:tcPr/>
          <w:p>
            <w:pPr>
              <w:pStyle w:val="Compact"/>
            </w:pPr>
            <w:r>
              <w:t xml:space="preserve">ServiceNow Service Catalog + Flow Designer</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VIII Bk 07 (CM-3/CM-5 SoD gate) · plane 6</w:t>
            </w:r>
          </w:p>
        </w:tc>
      </w:tr>
    </w:tbl>
    <w:bookmarkEnd w:id="99"/>
    <w:bookmarkStart w:id="100" w:name="volume-ix-servicenow-day-2-operations-1"/>
    <w:p>
      <w:pPr>
        <w:pStyle w:val="Heading2"/>
      </w:pPr>
      <w:r>
        <w:t xml:space="preserve">Volume IX — ServiceNow Day-2 Operations</w:t>
      </w:r>
    </w:p>
    <w:p>
      <w:pPr>
        <w:pStyle w:val="FirstParagraph"/>
      </w:pPr>
      <w:r>
        <w:t xml:space="preserve">The governed catalog for routine Entra/M365/Azure day-2 work — helpdesk, the</w:t>
      </w:r>
      <w:r>
        <w:t xml:space="preserve"> </w:t>
      </w:r>
      <w:r>
        <w:t xml:space="preserve">landing-zone front door, app-registration governance, and Teams telephony — same</w:t>
      </w:r>
      <w:r>
        <w:t xml:space="preserve"> </w:t>
      </w:r>
      <w:r>
        <w:t xml:space="preserve">discipline as Vol VII (Graph via in-boundary MID, no standing admin, every action</w:t>
      </w:r>
      <w:r>
        <w:t xml:space="preserve"> </w:t>
      </w:r>
      <w:r>
        <w:t xml:space="preserve">audited and reconciled to CM-8).</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Helpdesk / ITSM catalog</w:t>
            </w:r>
          </w:p>
        </w:tc>
        <w:tc>
          <w:tcPr/>
          <w:p>
            <w:pPr>
              <w:pStyle w:val="Compact"/>
            </w:pPr>
            <w:r>
              <w:t xml:space="preserve">ServiceNow catalog over Entra/M365/Azure (Graph via MID)</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IX Bk 01 (AC-2, IA-5, AC-6) · plane 3</w:t>
            </w:r>
          </w:p>
        </w:tc>
      </w:tr>
      <w:tr>
        <w:tc>
          <w:tcPr/>
          <w:p>
            <w:pPr>
              <w:pStyle w:val="Compact"/>
            </w:pPr>
            <w:r>
              <w:t xml:space="preserve">Landing-zone front door</w:t>
            </w:r>
          </w:p>
        </w:tc>
        <w:tc>
          <w:tcPr/>
          <w:p>
            <w:pPr>
              <w:pStyle w:val="Compact"/>
            </w:pPr>
            <w:r>
              <w:t xml:space="preserve">ServiceNow catalog → Terraform/Bicep → CMDB</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IX Bk 02 (CM-2/3/8) · plane 7</w:t>
            </w:r>
          </w:p>
        </w:tc>
      </w:tr>
      <w:tr>
        <w:tc>
          <w:tcPr/>
          <w:p>
            <w:pPr>
              <w:pStyle w:val="Compact"/>
            </w:pPr>
            <w:r>
              <w:t xml:space="preserve">App-registration governance</w:t>
            </w:r>
          </w:p>
        </w:tc>
        <w:tc>
          <w:tcPr/>
          <w:p>
            <w:pPr>
              <w:pStyle w:val="Compact"/>
            </w:pPr>
            <w:r>
              <w:t xml:space="preserve">Entra app registrations, ACME short-lived certs</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IX Bk 03 (IA-5(2), SC-17, AC-6) · plane 3</w:t>
            </w:r>
          </w:p>
        </w:tc>
      </w:tr>
      <w:tr>
        <w:tc>
          <w:tcPr/>
          <w:p>
            <w:pPr>
              <w:pStyle w:val="Compact"/>
            </w:pPr>
            <w:r>
              <w:t xml:space="preserve">Teams telephony</w:t>
            </w:r>
          </w:p>
        </w:tc>
        <w:tc>
          <w:tcPr/>
          <w:p>
            <w:pPr>
              <w:pStyle w:val="Compact"/>
            </w:pPr>
            <w:r>
              <w:t xml:space="preserve">Teams Phone, Direct Routing / Operator Connect / Calling Plans, SBC; E911 address validation</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IX Bk 04 (CM-3/CM-6, AU-2) · plane 5</w:t>
            </w:r>
          </w:p>
        </w:tc>
      </w:tr>
    </w:tbl>
    <w:p>
      <w:pPr>
        <w:pStyle w:val="BodyText"/>
      </w:pPr>
      <w:r>
        <w:rPr>
          <w:b/>
          <w:bCs/>
        </w:rPr>
        <w:t xml:space="preserve">Volumes V (Training) and VI (Implementation)</w:t>
      </w:r>
      <w:r>
        <w:t xml:space="preserve"> </w:t>
      </w:r>
      <w:r>
        <w:t xml:space="preserve">are not product-discovery</w:t>
      </w:r>
      <w:r>
        <w:t xml:space="preserve"> </w:t>
      </w:r>
      <w:r>
        <w:t xml:space="preserve">surfaces in their own right — Volume V is enablement, and Volume VI operationalizes</w:t>
      </w:r>
      <w:r>
        <w:t xml:space="preserve"> </w:t>
      </w:r>
      <w:r>
        <w:t xml:space="preserve">the Volume I–IV architecture as deployable code using the same products inventoried</w:t>
      </w:r>
      <w:r>
        <w:t xml:space="preserve"> </w:t>
      </w:r>
      <w:r>
        <w:t xml:space="preserve">above (plus IaC/CI tooling: Terraform/OpenTofu, Bicep, GitHub Actions). No separate</w:t>
      </w:r>
      <w:r>
        <w:t xml:space="preserve"> </w:t>
      </w:r>
      <w:r>
        <w:t xml:space="preserve">intake table is needed for them; record any IaC/CI tooling under the Volume VII–VIII</w:t>
      </w:r>
      <w:r>
        <w:t xml:space="preserve"> </w:t>
      </w:r>
      <w:r>
        <w:t xml:space="preserve">rows above.</w:t>
      </w:r>
    </w:p>
    <w:bookmarkEnd w:id="100"/>
    <w:bookmarkEnd w:id="101"/>
    <w:bookmarkStart w:id="102" w:name="flags"/>
    <w:p>
      <w:pPr>
        <w:pStyle w:val="Heading1"/>
      </w:pPr>
      <w:r>
        <w:t xml:space="preserve">Flags &amp; Gaps Summary</w:t>
      </w:r>
    </w:p>
    <w:p>
      <w:pPr>
        <w:pStyle w:val="FirstParagraph"/>
      </w:pPr>
      <w:r>
        <w:t xml:space="preserve">Roll up here anything that failed the §2 rule or has no product at all. This</w:t>
      </w:r>
      <w:r>
        <w:t xml:space="preserve"> </w:t>
      </w:r>
      <w:r>
        <w:t xml:space="preserve">list becomes the procurement / boundary-decision agenda.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Item</w:t>
            </w:r>
          </w:p>
        </w:tc>
        <w:tc>
          <w:tcPr/>
          <w:p>
            <w:pPr>
              <w:pStyle w:val="Compact"/>
            </w:pPr>
            <w:r>
              <w:t xml:space="preserve">Category</w:t>
            </w:r>
          </w:p>
        </w:tc>
        <w:tc>
          <w:tcPr/>
          <w:p>
            <w:pPr>
              <w:pStyle w:val="Compact"/>
            </w:pPr>
            <w:r>
              <w:t xml:space="preserve">Issue (High-only · gear · unauthorized · missing)</w:t>
            </w:r>
          </w:p>
        </w:tc>
        <w:tc>
          <w:tcPr/>
          <w:p>
            <w:pPr>
              <w:pStyle w:val="Compact"/>
            </w:pPr>
            <w:r>
              <w:t xml:space="preserve">Action</w:t>
            </w:r>
          </w:p>
        </w:tc>
      </w:tr>
      <w:tr>
        <w:tc>
          <w:tcPr/>
          <w:p>
            <w:pPr>
              <w:pStyle w:val="Compact"/>
            </w:pPr>
            <w:r>
              <w:t xml:space="preserve">Riverbed (Aternity/NPM+)</w:t>
            </w:r>
          </w:p>
        </w:tc>
        <w:tc>
          <w:tcPr/>
          <w:p>
            <w:pPr>
              <w:pStyle w:val="Compact"/>
            </w:pPr>
            <w:r>
              <w:t xml:space="preserve">Network observability</w:t>
            </w:r>
          </w:p>
        </w:tc>
        <w:tc>
          <w:tcPr/>
          <w:p>
            <w:pPr>
              <w:pStyle w:val="Compact"/>
            </w:pPr>
            <w:r>
              <w:t xml:space="preserve">Class D (High)-only cloud</w:t>
            </w:r>
          </w:p>
        </w:tc>
        <w:tc>
          <w:tcPr/>
          <w:p>
            <w:pPr>
              <w:pStyle w:val="Compact"/>
            </w:pPr>
            <w:r>
              <w:t xml:space="preserve">Confirm Moderate need or boundary fit</w:t>
            </w:r>
          </w:p>
        </w:tc>
      </w:tr>
      <w:tr>
        <w:tc>
          <w:tcPr/>
          <w:p>
            <w:pPr>
              <w:pStyle w:val="Compact"/>
            </w:pPr>
            <w:r>
              <w:t xml:space="preserve">Riverbed SteelHead</w:t>
            </w:r>
          </w:p>
        </w:tc>
        <w:tc>
          <w:tcPr/>
          <w:p>
            <w:pPr>
              <w:pStyle w:val="Compact"/>
            </w:pPr>
            <w:r>
              <w:t xml:space="preserve">WAN-opt</w:t>
            </w:r>
          </w:p>
        </w:tc>
        <w:tc>
          <w:tcPr/>
          <w:p>
            <w:pPr>
              <w:pStyle w:val="Compact"/>
            </w:pPr>
            <w:r>
              <w:t xml:space="preserve">On-prem gear (not FedRAMP)</w:t>
            </w:r>
          </w:p>
        </w:tc>
        <w:tc>
          <w:tcPr/>
          <w:p>
            <w:pPr>
              <w:pStyle w:val="Compact"/>
            </w:pPr>
            <w:r>
              <w:t xml:space="preserve">Accredit via NIAP/STIG/FIPS</w:t>
            </w:r>
          </w:p>
        </w:tc>
      </w:tr>
      <w:tr>
        <w:tc>
          <w:tcPr/>
          <w:p>
            <w:pPr>
              <w:pStyle w:val="Compact"/>
            </w:pPr>
            <w:r>
              <w:t xml:space="preserve">Confluence</w:t>
            </w:r>
          </w:p>
        </w:tc>
        <w:tc>
          <w:tcPr/>
          <w:p>
            <w:pPr>
              <w:pStyle w:val="Compact"/>
            </w:pPr>
            <w:r>
              <w:t xml:space="preserve">Documentation</w:t>
            </w:r>
          </w:p>
        </w:tc>
        <w:tc>
          <w:tcPr/>
          <w:p>
            <w:pPr>
              <w:pStyle w:val="Compact"/>
            </w:pPr>
            <w:r>
              <w:t xml:space="preserve">Moderate</w:t>
            </w:r>
            <w:r>
              <w:t xml:space="preserve"> </w:t>
            </w:r>
            <w:r>
              <w:rPr>
                <w:b/>
                <w:bCs/>
              </w:rPr>
              <w:t xml:space="preserve">only</w:t>
            </w:r>
            <w:r>
              <w:t xml:space="preserve"> </w:t>
            </w:r>
            <w:r>
              <w:t xml:space="preserve">on Atlassian Gov Cloud</w:t>
            </w:r>
          </w:p>
        </w:tc>
        <w:tc>
          <w:tcPr/>
          <w:p>
            <w:pPr>
              <w:pStyle w:val="Compact"/>
            </w:pPr>
            <w:r>
              <w:t xml:space="preserve">Confirm not on commercial edition</w:t>
            </w:r>
          </w:p>
        </w:tc>
      </w:tr>
      <w:tr>
        <w:tc>
          <w:tcPr/>
          <w:p>
            <w:pPr>
              <w:pStyle w:val="Compact"/>
            </w:pPr>
            <w:r>
              <w:t xml:space="preserve">ServiceNow</w:t>
            </w:r>
          </w:p>
        </w:tc>
        <w:tc>
          <w:tcPr/>
          <w:p>
            <w:pPr>
              <w:pStyle w:val="Compact"/>
            </w:pPr>
            <w:r>
              <w:t xml:space="preserve">Coordination hub</w:t>
            </w:r>
          </w:p>
        </w:tc>
        <w:tc>
          <w:tcPr/>
          <w:p>
            <w:pPr>
              <w:pStyle w:val="Compact"/>
            </w:pPr>
            <w:r>
              <w:t xml:space="preserve">Class D (High)</w:t>
            </w:r>
          </w:p>
        </w:tc>
        <w:tc>
          <w:tcPr/>
          <w:p>
            <w:pPr>
              <w:pStyle w:val="Compact"/>
            </w:pPr>
            <w:r>
              <w:t xml:space="preserve">Document as High covering Moderate boundary</w:t>
            </w:r>
          </w:p>
        </w:tc>
      </w:tr>
      <w:tr>
        <w:tc>
          <w:tcPr/>
          <w:p>
            <w:pPr>
              <w:pStyle w:val="Compact"/>
            </w:pPr>
            <w:r>
              <w:t xml:space="preserve">Palo Alto Prisma Cloud (CNAPP)</w:t>
            </w:r>
          </w:p>
        </w:tc>
        <w:tc>
          <w:tcPr/>
          <w:p>
            <w:pPr>
              <w:pStyle w:val="Compact"/>
            </w:pPr>
            <w:r>
              <w:t xml:space="preserve">Cloud posture</w:t>
            </w:r>
          </w:p>
        </w:tc>
        <w:tc>
          <w:tcPr/>
          <w:p>
            <w:pPr>
              <w:pStyle w:val="Compact"/>
            </w:pPr>
            <w:r>
              <w:t xml:space="preserve">Class D (High)-only</w:t>
            </w:r>
          </w:p>
        </w:tc>
        <w:tc>
          <w:tcPr/>
          <w:p>
            <w:pPr>
              <w:pStyle w:val="Compact"/>
            </w:pPr>
            <w:r>
              <w:t xml:space="preserve">Agency-preferred; document as High covering Moderate, or select a Moderate CNAPP (Defender for Cloud)</w:t>
            </w:r>
          </w:p>
        </w:tc>
      </w:tr>
      <w:tr>
        <w:tc>
          <w:tcPr/>
          <w:p>
            <w:pPr>
              <w:pStyle w:val="Compact"/>
            </w:pPr>
            <w:r>
              <w:rPr>
                <w:i/>
                <w:iCs/>
              </w:rPr>
              <w:t xml:space="preserve">(add rows as discovery proceeds)</w:t>
            </w:r>
          </w:p>
        </w:tc>
        <w:tc>
          <w:tcPr/>
          <w:p>
            <w:pPr>
              <w:pStyle w:val="Compact"/>
            </w:pPr>
          </w:p>
        </w:tc>
        <w:tc>
          <w:tcPr/>
          <w:p>
            <w:pPr>
              <w:pStyle w:val="Compact"/>
            </w:pPr>
          </w:p>
        </w:tc>
        <w:tc>
          <w:tcPr/>
          <w:p>
            <w:pPr>
              <w:pStyle w:val="Compact"/>
            </w:pPr>
          </w:p>
        </w:tc>
      </w:tr>
    </w:tbl>
    <w:bookmarkEnd w:id="102"/>
    <w:bookmarkStart w:id="113" w:name="references-fedramp-status-sources"/>
    <w:p>
      <w:pPr>
        <w:pStyle w:val="Heading1"/>
      </w:pPr>
      <w:r>
        <w:t xml:space="preserve">References — FedRAMP Status Sources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Product</w:t>
            </w:r>
          </w:p>
        </w:tc>
        <w:tc>
          <w:tcPr/>
          <w:p>
            <w:pPr>
              <w:pStyle w:val="Compact"/>
            </w:pPr>
            <w:r>
              <w:t xml:space="preserve">Source</w:t>
            </w:r>
          </w:p>
        </w:tc>
      </w:tr>
      <w:tr>
        <w:tc>
          <w:tcPr/>
          <w:p>
            <w:pPr>
              <w:pStyle w:val="Compact"/>
            </w:pPr>
            <w:r>
              <w:t xml:space="preserve">FedRAMP Marketplace</w:t>
            </w:r>
          </w:p>
        </w:tc>
        <w:tc>
          <w:tcPr/>
          <w:p>
            <w:pPr>
              <w:pStyle w:val="Compact"/>
            </w:pPr>
            <w:hyperlink r:id="rId103">
              <w:r>
                <w:rPr>
                  <w:rStyle w:val="Hyperlink"/>
                </w:rPr>
                <w:t xml:space="preserve">https://marketplace.fedramp.gov/</w:t>
              </w:r>
            </w:hyperlink>
          </w:p>
        </w:tc>
      </w:tr>
      <w:tr>
        <w:tc>
          <w:tcPr/>
          <w:p>
            <w:pPr>
              <w:pStyle w:val="Compact"/>
            </w:pPr>
            <w:r>
              <w:t xml:space="preserve">SailPoint Identity Security Cloud (Moderate)</w:t>
            </w:r>
          </w:p>
        </w:tc>
        <w:tc>
          <w:tcPr/>
          <w:p>
            <w:pPr>
              <w:pStyle w:val="Compact"/>
            </w:pPr>
            <w:hyperlink r:id="rId104">
              <w:r>
                <w:rPr>
                  <w:rStyle w:val="Hyperlink"/>
                </w:rPr>
                <w:t xml:space="preserve">https://www.fedramp.gov/marketplace/products/FR2001938710A/</w:t>
              </w:r>
            </w:hyperlink>
          </w:p>
        </w:tc>
      </w:tr>
      <w:tr>
        <w:tc>
          <w:tcPr/>
          <w:p>
            <w:pPr>
              <w:pStyle w:val="Compact"/>
            </w:pPr>
            <w:r>
              <w:t xml:space="preserve">ServiceNow Government Cloud (High)</w:t>
            </w:r>
          </w:p>
        </w:tc>
        <w:tc>
          <w:tcPr/>
          <w:p>
            <w:pPr>
              <w:pStyle w:val="Compact"/>
            </w:pPr>
            <w:hyperlink r:id="rId105">
              <w:r>
                <w:rPr>
                  <w:rStyle w:val="Hyperlink"/>
                </w:rPr>
                <w:t xml:space="preserve">https://www.servicenow.com/company/media/press-room/servicenow-secures-fedramp-high-authorization.html</w:t>
              </w:r>
            </w:hyperlink>
          </w:p>
        </w:tc>
      </w:tr>
      <w:tr>
        <w:tc>
          <w:tcPr/>
          <w:p>
            <w:pPr>
              <w:pStyle w:val="Compact"/>
            </w:pPr>
            <w:r>
              <w:t xml:space="preserve">Splunk Cloud Platform (Moderate)</w:t>
            </w:r>
          </w:p>
        </w:tc>
        <w:tc>
          <w:tcPr/>
          <w:p>
            <w:pPr>
              <w:pStyle w:val="Compact"/>
            </w:pPr>
            <w:hyperlink r:id="rId106">
              <w:r>
                <w:rPr>
                  <w:rStyle w:val="Hyperlink"/>
                </w:rPr>
                <w:t xml:space="preserve">https://www.fedramp.gov/marketplace/products/F1607197917/</w:t>
              </w:r>
            </w:hyperlink>
          </w:p>
        </w:tc>
      </w:tr>
      <w:tr>
        <w:tc>
          <w:tcPr/>
          <w:p>
            <w:pPr>
              <w:pStyle w:val="Compact"/>
            </w:pPr>
            <w:r>
              <w:t xml:space="preserve">Riverbed Platform for Government (Class D / High)</w:t>
            </w:r>
          </w:p>
        </w:tc>
        <w:tc>
          <w:tcPr/>
          <w:p>
            <w:pPr>
              <w:pStyle w:val="Compact"/>
            </w:pPr>
            <w:hyperlink r:id="rId107">
              <w:r>
                <w:rPr>
                  <w:rStyle w:val="Hyperlink"/>
                </w:rPr>
                <w:t xml:space="preserve">https://www.riverbed.com/blogs/riverbed-platform-achieves-fedramp-class-d-certification/</w:t>
              </w:r>
            </w:hyperlink>
          </w:p>
        </w:tc>
      </w:tr>
      <w:tr>
        <w:tc>
          <w:tcPr/>
          <w:p>
            <w:pPr>
              <w:pStyle w:val="Compact"/>
            </w:pPr>
            <w:r>
              <w:t xml:space="preserve">Atlassian Government Cloud — Confluence/Jira (Moderate)</w:t>
            </w:r>
          </w:p>
        </w:tc>
        <w:tc>
          <w:tcPr/>
          <w:p>
            <w:pPr>
              <w:pStyle w:val="Compact"/>
            </w:pPr>
            <w:hyperlink r:id="rId108">
              <w:r>
                <w:rPr>
                  <w:rStyle w:val="Hyperlink"/>
                </w:rPr>
                <w:t xml:space="preserve">https://www.atlassian.com/blog/announcements/atlassiangovernmentcloud</w:t>
              </w:r>
            </w:hyperlink>
          </w:p>
        </w:tc>
      </w:tr>
      <w:tr>
        <w:tc>
          <w:tcPr/>
          <w:p>
            <w:pPr>
              <w:pStyle w:val="Compact"/>
            </w:pPr>
            <w:r>
              <w:t xml:space="preserve">Tanium Cloud for US Government (Moderate)</w:t>
            </w:r>
          </w:p>
        </w:tc>
        <w:tc>
          <w:tcPr/>
          <w:p>
            <w:pPr>
              <w:pStyle w:val="Compact"/>
            </w:pPr>
            <w:hyperlink r:id="rId109">
              <w:r>
                <w:rPr>
                  <w:rStyle w:val="Hyperlink"/>
                </w:rPr>
                <w:t xml:space="preserve">https://www.fedramp.gov/marketplace/products/FR2110342613/</w:t>
              </w:r>
            </w:hyperlink>
          </w:p>
        </w:tc>
      </w:tr>
      <w:tr>
        <w:tc>
          <w:tcPr/>
          <w:p>
            <w:pPr>
              <w:pStyle w:val="Compact"/>
            </w:pPr>
            <w:r>
              <w:t xml:space="preserve">Wiz for Government (High)</w:t>
            </w:r>
          </w:p>
        </w:tc>
        <w:tc>
          <w:tcPr/>
          <w:p>
            <w:pPr>
              <w:pStyle w:val="Compact"/>
            </w:pPr>
            <w:hyperlink r:id="rId110">
              <w:r>
                <w:rPr>
                  <w:rStyle w:val="Hyperlink"/>
                </w:rPr>
                <w:t xml:space="preserve">https://www.wiz.io/blog/wiz-achieves-fedramp-high-authorization</w:t>
              </w:r>
            </w:hyperlink>
          </w:p>
        </w:tc>
      </w:tr>
      <w:tr>
        <w:tc>
          <w:tcPr/>
          <w:p>
            <w:pPr>
              <w:pStyle w:val="Compact"/>
            </w:pPr>
            <w:r>
              <w:t xml:space="preserve">Palo Alto Prisma Cloud (High)</w:t>
            </w:r>
          </w:p>
        </w:tc>
        <w:tc>
          <w:tcPr/>
          <w:p>
            <w:pPr>
              <w:pStyle w:val="Compact"/>
            </w:pPr>
            <w:hyperlink r:id="rId111">
              <w:r>
                <w:rPr>
                  <w:rStyle w:val="Hyperlink"/>
                </w:rPr>
                <w:t xml:space="preserve">https://www.paloaltonetworks.com/blog/prisma-cloud/fedramp-high-impact-ready/</w:t>
              </w:r>
            </w:hyperlink>
          </w:p>
        </w:tc>
      </w:tr>
    </w:tbl>
    <w:bookmarkStart w:id="112"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 navigational index, not an authorization artifact, control-inheritance claim, or assessment result, and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20:10 ET</w:t>
      </w:r>
    </w:p>
    <w:bookmarkEnd w:id="112"/>
    <w:bookmarkEnd w:id="113"/>
    <w:bookmarkStart w:id="115" w:name="purpose"/>
    <w:p>
      <w:pPr>
        <w:pStyle w:val="Heading1"/>
      </w:pPr>
      <w:r>
        <w:t xml:space="preserve">Purpose</w:t>
      </w:r>
    </w:p>
    <w:p>
      <w:pPr>
        <w:pStyle w:val="FirstParagraph"/>
      </w:pPr>
      <w:r>
        <w:t xml:space="preserve">This appendix is the</w:t>
      </w:r>
      <w:r>
        <w:t xml:space="preserve"> </w:t>
      </w:r>
      <w:r>
        <w:rPr>
          <w:b/>
          <w:bCs/>
        </w:rPr>
        <w:t xml:space="preserve">series-wide control crosswalk</w:t>
      </w:r>
      <w:r>
        <w:t xml:space="preserve"> </w:t>
      </w:r>
      <w:r>
        <w:t xml:space="preserve">for the Federal</w:t>
      </w:r>
      <w:r>
        <w:t xml:space="preserve"> </w:t>
      </w:r>
      <w:r>
        <w:t xml:space="preserve">Compliance program. It answers one question directly:</w:t>
      </w:r>
      <w:r>
        <w:t xml:space="preserve"> </w:t>
      </w:r>
      <w:r>
        <w:rPr>
          <w:i/>
          <w:iCs/>
        </w:rPr>
        <w:t xml:space="preserve">for a given NIST SP 800-53 Rev 5 control, where in the eleven-volume series is it</w:t>
      </w:r>
      <w:r>
        <w:rPr>
          <w:i/>
          <w:iCs/>
        </w:rPr>
        <w:t xml:space="preserve"> </w:t>
      </w:r>
      <w:r>
        <w:rPr>
          <w:i/>
          <w:iCs/>
        </w:rPr>
        <w:t xml:space="preserve">addressed?</w:t>
      </w:r>
      <w:r>
        <w:t xml:space="preserve"> </w:t>
      </w:r>
      <w:r>
        <w:t xml:space="preserve">Use it as a reverse index when responding to an assessor, building a</w:t>
      </w:r>
      <w:r>
        <w:t xml:space="preserve"> </w:t>
      </w:r>
      <w:r>
        <w:t xml:space="preserve">System Security Plan control-origination table, or checking that a control family</w:t>
      </w:r>
      <w:r>
        <w:t xml:space="preserve"> </w:t>
      </w:r>
      <w:r>
        <w:t xml:space="preserve">is covered before an authorization review.</w:t>
      </w:r>
    </w:p>
    <w:p>
      <w:pPr>
        <w:pStyle w:val="BodyText"/>
      </w:pPr>
      <w:r>
        <w:t xml:space="preserve">Across the 149 distinct controls indexed here, the series addresses coverage</w:t>
      </w:r>
      <w:r>
        <w:t xml:space="preserve"> </w:t>
      </w:r>
      <w:r>
        <w:t xml:space="preserve">spanning Volumes I through IX — the transport, data-platform, security-operations,</w:t>
      </w:r>
      <w:r>
        <w:t xml:space="preserve"> </w:t>
      </w:r>
      <w:r>
        <w:t xml:space="preserve">governance, training, and implementation layers, plus the three coordination and</w:t>
      </w:r>
      <w:r>
        <w:t xml:space="preserve"> </w:t>
      </w:r>
      <w:r>
        <w:t xml:space="preserve">day-2 volumes:</w:t>
      </w:r>
      <w:r>
        <w:t xml:space="preserve"> </w:t>
      </w:r>
      <w:r>
        <w:rPr>
          <w:b/>
          <w:bCs/>
        </w:rPr>
        <w:t xml:space="preserve">Volume VII (ServiceNow control-compliance automation)</w:t>
      </w:r>
      <w:r>
        <w:t xml:space="preserve">,</w:t>
      </w:r>
      <w:r>
        <w:t xml:space="preserve"> </w:t>
      </w:r>
      <w:r>
        <w:rPr>
          <w:b/>
          <w:bCs/>
        </w:rPr>
        <w:t xml:space="preserve">Volume VIII (multi-cloud DDI landing-zone automation)</w:t>
      </w:r>
      <w:r>
        <w:t xml:space="preserve">, and</w:t>
      </w:r>
      <w:r>
        <w:t xml:space="preserve"> </w:t>
      </w:r>
      <w:r>
        <w:rPr>
          <w:b/>
          <w:bCs/>
        </w:rPr>
        <w:t xml:space="preserve">Volume IX</w:t>
      </w:r>
      <w:r>
        <w:rPr>
          <w:b/>
          <w:bCs/>
        </w:rPr>
        <w:t xml:space="preserve"> </w:t>
      </w:r>
      <w:r>
        <w:rPr>
          <w:b/>
          <w:bCs/>
        </w:rPr>
        <w:t xml:space="preserve">(ServiceNow day-2 operations)</w:t>
      </w:r>
      <w:r>
        <w:t xml:space="preserve">. Those three do not, in the main, close</w:t>
      </w:r>
      <w:r>
        <w:t xml:space="preserve"> </w:t>
      </w:r>
      <w:r>
        <w:rPr>
          <w:i/>
          <w:iCs/>
        </w:rPr>
        <w:t xml:space="preserve">new</w:t>
      </w:r>
      <w:r>
        <w:t xml:space="preserve"> </w:t>
      </w:r>
      <w:r>
        <w:t xml:space="preserve">control numbers — they</w:t>
      </w:r>
      <w:r>
        <w:t xml:space="preserve"> </w:t>
      </w:r>
      <w:r>
        <w:rPr>
          <w:i/>
          <w:iCs/>
        </w:rPr>
        <w:t xml:space="preserve">coordinate, evidence, and operate</w:t>
      </w:r>
      <w:r>
        <w:t xml:space="preserve"> </w:t>
      </w:r>
      <w:r>
        <w:t xml:space="preserve">controls the</w:t>
      </w:r>
      <w:r>
        <w:t xml:space="preserve"> </w:t>
      </w:r>
      <w:r>
        <w:t xml:space="preserve">architecture volumes already close, routing drift to owners and reconciling every</w:t>
      </w:r>
      <w:r>
        <w:t xml:space="preserve"> </w:t>
      </w:r>
      <w:r>
        <w:t xml:space="preserve">asset to the CM-8 join key (the genuinely new control numbers they add are</w:t>
      </w:r>
      <w:r>
        <w:t xml:space="preserve"> </w:t>
      </w:r>
      <w:r>
        <w:rPr>
          <w:b/>
          <w:bCs/>
        </w:rPr>
        <w:t xml:space="preserve">CM-5</w:t>
      </w:r>
      <w:r>
        <w:t xml:space="preserve"> </w:t>
      </w:r>
      <w:r>
        <w:t xml:space="preserve">(separation-of-duties over DDI change) plus AC-2(3), AC-2(4), and SA-9(2) from Vol IX Book 05).</w:t>
      </w:r>
    </w:p>
    <w:bookmarkStart w:id="114" w:name="Xf59d330d71315fc885bac97069dc1b63053fe99"/>
    <w:p>
      <w:pPr>
        <w:pStyle w:val="Heading2"/>
      </w:pPr>
      <w:r>
        <w:t xml:space="preserve">Maintenance status — a machine-derived slice now exists; this master table remains the hand-maintained superset</w:t>
      </w:r>
    </w:p>
    <w:p>
      <w:pPr>
        <w:pStyle w:val="FirstParagraph"/>
      </w:pPr>
      <w:r>
        <w:t xml:space="preserve">The</w:t>
      </w:r>
      <w:r>
        <w:t xml:space="preserve"> </w:t>
      </w:r>
      <w:r>
        <w:rPr>
          <w:b/>
          <w:bCs/>
        </w:rPr>
        <w:t xml:space="preserve">per-book</w:t>
      </w:r>
      <w:r>
        <w:rPr>
          <w:b/>
          <w:bCs/>
        </w:rPr>
        <w:t xml:space="preserve"> </w:t>
      </w:r>
      <w:r>
        <w:rPr>
          <w:b/>
          <w:bCs/>
        </w:rPr>
        <w:t xml:space="preserve">“Authorities Closed Here”</w:t>
      </w:r>
      <w:r>
        <w:rPr>
          <w:b/>
          <w:bCs/>
        </w:rPr>
        <w:t xml:space="preserve"> </w:t>
      </w:r>
      <w:r>
        <w:rPr>
          <w:b/>
          <w:bCs/>
        </w:rPr>
        <w:t xml:space="preserve">tables are generated</w:t>
      </w:r>
      <w:r>
        <w:t xml:space="preserve"> </w:t>
      </w:r>
      <w:r>
        <w:t xml:space="preserve">from</w:t>
      </w:r>
      <w:r>
        <w:t xml:space="preserve"> </w:t>
      </w:r>
      <w:r>
        <w:rPr>
          <w:rStyle w:val="VerbatimChar"/>
        </w:rPr>
        <w:t xml:space="preserve">federal-compliance-compliance-spine.yml</w:t>
      </w:r>
      <w:r>
        <w:t xml:space="preserve"> </w:t>
      </w:r>
      <w:r>
        <w:t xml:space="preserve">by</w:t>
      </w:r>
      <w:r>
        <w:t xml:space="preserve"> </w:t>
      </w:r>
      <w:r>
        <w:rPr>
          <w:rStyle w:val="VerbatimChar"/>
        </w:rPr>
        <w:t xml:space="preserve">render_authorities_table.py</w:t>
      </w:r>
      <w:r>
        <w:t xml:space="preserve">, and a CI drift gate</w:t>
      </w:r>
      <w:r>
        <w:t xml:space="preserve"> </w:t>
      </w:r>
      <w:r>
        <w:t xml:space="preserve">(</w:t>
      </w:r>
      <w:r>
        <w:rPr>
          <w:rStyle w:val="VerbatimChar"/>
        </w:rPr>
        <w:t xml:space="preserve">--check</w:t>
      </w:r>
      <w:r>
        <w:t xml:space="preserve">,</w:t>
      </w:r>
      <w:r>
        <w:t xml:space="preserve"> </w:t>
      </w:r>
      <w:r>
        <w:rPr>
          <w:rStyle w:val="VerbatimChar"/>
        </w:rPr>
        <w:t xml:space="preserve">.github/workflows/federal-compliance-authorities-drift.yml</w:t>
      </w:r>
      <w:r>
        <w:t xml:space="preserve">) blocks any partial</w:t>
      </w:r>
      <w:r>
        <w:t xml:space="preserve"> </w:t>
      </w:r>
      <w:r>
        <w:t xml:space="preserve">that diverges from the spine. A</w:t>
      </w:r>
      <w:r>
        <w:t xml:space="preserve"> </w:t>
      </w:r>
      <w:r>
        <w:rPr>
          <w:b/>
          <w:bCs/>
        </w:rPr>
        <w:t xml:space="preserve">spine-derived crosswalk is now generated too</w:t>
      </w:r>
      <w:r>
        <w:t xml:space="preserve"> </w:t>
      </w:r>
      <w:r>
        <w:t xml:space="preserve">—</w:t>
      </w:r>
      <w:r>
        <w:t xml:space="preserve"> </w:t>
      </w:r>
      <w:r>
        <w:rPr>
          <w:rStyle w:val="VerbatimChar"/>
        </w:rPr>
        <w:t xml:space="preserve">render_crosswalk.py</w:t>
      </w:r>
      <w:r>
        <w:t xml:space="preserve"> </w:t>
      </w:r>
      <w:r>
        <w:t xml:space="preserve">renders</w:t>
      </w:r>
      <w:r>
        <w:t xml:space="preserve"> </w:t>
      </w:r>
      <w:r>
        <w:rPr>
          <w:rStyle w:val="VerbatimChar"/>
        </w:rPr>
        <w:t xml:space="preserve">Compliance_Spine_Crosswalk.md</w:t>
      </w:r>
      <w:r>
        <w:t xml:space="preserve"> </w:t>
      </w:r>
      <w:r>
        <w:t xml:space="preserve">from the same closures and is behind the same drift gate, so the machine-derived</w:t>
      </w:r>
      <w:r>
        <w:t xml:space="preserve"> </w:t>
      </w:r>
      <w:r>
        <w:t xml:space="preserve">slice can never silently fall out of sync with the spine. That slice currently</w:t>
      </w:r>
      <w:r>
        <w:t xml:space="preserve"> </w:t>
      </w:r>
      <w:r>
        <w:t xml:space="preserve">covers the</w:t>
      </w:r>
      <w:r>
        <w:t xml:space="preserve"> </w:t>
      </w:r>
      <w:r>
        <w:rPr>
          <w:b/>
          <w:bCs/>
        </w:rPr>
        <w:t xml:space="preserve">106 closures across 21 of 72 books</w:t>
      </w:r>
      <w:r>
        <w:t xml:space="preserve"> </w:t>
      </w:r>
      <w:r>
        <w:t xml:space="preserve">the spine carries (53 distinct</w:t>
      </w:r>
      <w:r>
        <w:t xml:space="preserve"> </w:t>
      </w:r>
      <w:r>
        <w:t xml:space="preserve">controls).</w:t>
      </w:r>
      <w:r>
        <w:t xml:space="preserve"> </w:t>
      </w:r>
      <w:r>
        <w:rPr>
          <w:b/>
          <w:bCs/>
        </w:rPr>
        <w:t xml:space="preserve">This series-wide master table below is still the hand-maintained</w:t>
      </w:r>
      <w:r>
        <w:rPr>
          <w:b/>
          <w:bCs/>
        </w:rPr>
        <w:t xml:space="preserve"> </w:t>
      </w:r>
      <w:r>
        <w:rPr>
          <w:b/>
          <w:bCs/>
        </w:rPr>
        <w:t xml:space="preserve">superset</w:t>
      </w:r>
      <w:r>
        <w:t xml:space="preserve"> </w:t>
      </w:r>
      <w:r>
        <w:t xml:space="preserve">— it indexes all 149 controls, including the books the spine has not</w:t>
      </w:r>
      <w:r>
        <w:t xml:space="preserve"> </w:t>
      </w:r>
      <w:r>
        <w:t xml:space="preserve">yet back-filled — so treat it as an author-maintained index, and read the</w:t>
      </w:r>
      <w:r>
        <w:t xml:space="preserve"> </w:t>
      </w:r>
      <w:r>
        <w:t xml:space="preserve">generated slice for the machine-verified subset. As the spine is back-filled book</w:t>
      </w:r>
      <w:r>
        <w:t xml:space="preserve"> </w:t>
      </w:r>
      <w:r>
        <w:t xml:space="preserve">by book, the generated slice grows toward this master automatically.</w:t>
      </w:r>
    </w:p>
    <w:bookmarkEnd w:id="114"/>
    <w:bookmarkEnd w:id="115"/>
    <w:bookmarkStart w:id="116" w:name="how-this-crosswalk-was-built"/>
    <w:p>
      <w:pPr>
        <w:pStyle w:val="Heading1"/>
      </w:pPr>
      <w:r>
        <w:t xml:space="preserve">How This Crosswalk Was Built</w:t>
      </w:r>
    </w:p>
    <w:p>
      <w:pPr>
        <w:pStyle w:val="FirstParagraph"/>
      </w:pPr>
      <w:r>
        <w:t xml:space="preserve">The mapping is</w:t>
      </w:r>
      <w:r>
        <w:t xml:space="preserve"> </w:t>
      </w:r>
      <w:r>
        <w:rPr>
          <w:b/>
          <w:bCs/>
        </w:rPr>
        <w:t xml:space="preserve">extracted from each book’s own primary control treatment</w:t>
      </w:r>
      <w:r>
        <w:t xml:space="preserve"> </w:t>
      </w:r>
      <w:r>
        <w:t xml:space="preserve">— the</w:t>
      </w:r>
      <w:r>
        <w:t xml:space="preserve"> </w:t>
      </w:r>
      <w:r>
        <w:t xml:space="preserve">“NIST 800-53 Rev 5 Control Closure”</w:t>
      </w:r>
      <w:r>
        <w:t xml:space="preserve"> </w:t>
      </w:r>
      <w:r>
        <w:t xml:space="preserve">/</w:t>
      </w:r>
      <w:r>
        <w:t xml:space="preserve"> </w:t>
      </w:r>
      <w:r>
        <w:t xml:space="preserve">“Authorities Closed Here”</w:t>
      </w:r>
      <w:r>
        <w:t xml:space="preserve"> </w:t>
      </w:r>
      <w:r>
        <w:t xml:space="preserve">tables and the</w:t>
      </w:r>
      <w:r>
        <w:t xml:space="preserve"> </w:t>
      </w:r>
      <w:r>
        <w:t xml:space="preserve">sections where a control is the substantive subject. Controls that a book only</w:t>
      </w:r>
      <w:r>
        <w:t xml:space="preserve"> </w:t>
      </w:r>
      <w:r>
        <w:t xml:space="preserve">mentions in passing, cites in a framework-alignment cross-reference, or names in a</w:t>
      </w:r>
      <w:r>
        <w:t xml:space="preserve"> </w:t>
      </w:r>
      <w:r>
        <w:t xml:space="preserve">vendor appendix are deliberately</w:t>
      </w:r>
      <w:r>
        <w:t xml:space="preserve"> </w:t>
      </w:r>
      <w:r>
        <w:rPr>
          <w:b/>
          <w:bCs/>
        </w:rPr>
        <w:t xml:space="preserve">excluded</w:t>
      </w:r>
      <w:r>
        <w:t xml:space="preserve">, so a row here means the series</w:t>
      </w:r>
      <w:r>
        <w:t xml:space="preserve"> </w:t>
      </w:r>
      <w:r>
        <w:t xml:space="preserve">treats that control as a first-class subject in the named book.</w:t>
      </w:r>
    </w:p>
    <w:p>
      <w:pPr>
        <w:pStyle w:val="Compact"/>
        <w:numPr>
          <w:ilvl w:val="0"/>
          <w:numId w:val="1027"/>
        </w:numPr>
      </w:pPr>
      <w:r>
        <w:rPr>
          <w:b/>
          <w:bCs/>
        </w:rPr>
        <w:t xml:space="preserve">Titles</w:t>
      </w:r>
      <w:r>
        <w:t xml:space="preserve"> </w:t>
      </w:r>
      <w:r>
        <w:t xml:space="preserve">are the official NIST SP 800-53 Rev 5 short control titles, which</w:t>
      </w:r>
      <w:r>
        <w:t xml:space="preserve"> </w:t>
      </w:r>
      <w:r>
        <w:t xml:space="preserve">occasionally differ from a book’s prose wording.</w:t>
      </w:r>
    </w:p>
    <w:p>
      <w:pPr>
        <w:pStyle w:val="Compact"/>
        <w:numPr>
          <w:ilvl w:val="0"/>
          <w:numId w:val="1027"/>
        </w:numPr>
      </w:pPr>
      <w:r>
        <w:rPr>
          <w:b/>
          <w:bCs/>
        </w:rPr>
        <w:t xml:space="preserve">Volume VI (Implementation)</w:t>
      </w:r>
      <w:r>
        <w:t xml:space="preserve"> </w:t>
      </w:r>
      <w:r>
        <w:t xml:space="preserve">rows record where a control is</w:t>
      </w:r>
      <w:r>
        <w:t xml:space="preserve"> </w:t>
      </w:r>
      <w:r>
        <w:rPr>
          <w:i/>
          <w:iCs/>
        </w:rPr>
        <w:t xml:space="preserve">operationalized as</w:t>
      </w:r>
      <w:r>
        <w:rPr>
          <w:i/>
          <w:iCs/>
        </w:rPr>
        <w:t xml:space="preserve"> </w:t>
      </w:r>
      <w:r>
        <w:rPr>
          <w:i/>
          <w:iCs/>
        </w:rPr>
        <w:t xml:space="preserve">deployable code</w:t>
      </w:r>
      <w:r>
        <w:t xml:space="preserve">; the architecture book that closes the same control appears on</w:t>
      </w:r>
      <w:r>
        <w:t xml:space="preserve"> </w:t>
      </w:r>
      <w:r>
        <w:t xml:space="preserve">the same row, so both the</w:t>
      </w:r>
      <w:r>
        <w:t xml:space="preserve"> </w:t>
      </w:r>
      <w:r>
        <w:t xml:space="preserve">“what”</w:t>
      </w:r>
      <w:r>
        <w:t xml:space="preserve"> </w:t>
      </w:r>
      <w:r>
        <w:t xml:space="preserve">and the</w:t>
      </w:r>
      <w:r>
        <w:t xml:space="preserve"> </w:t>
      </w:r>
      <w:r>
        <w:t xml:space="preserve">“how”</w:t>
      </w:r>
      <w:r>
        <w:t xml:space="preserve"> </w:t>
      </w:r>
      <w:r>
        <w:t xml:space="preserve">are visible at a glance.</w:t>
      </w:r>
    </w:p>
    <w:p>
      <w:pPr>
        <w:pStyle w:val="Compact"/>
        <w:numPr>
          <w:ilvl w:val="0"/>
          <w:numId w:val="1027"/>
        </w:numPr>
      </w:pPr>
      <w:r>
        <w:rPr>
          <w:b/>
          <w:bCs/>
        </w:rPr>
        <w:t xml:space="preserve">Volume V (Training &amp; Certification)</w:t>
      </w:r>
      <w:r>
        <w:t xml:space="preserve"> </w:t>
      </w:r>
      <w:r>
        <w:t xml:space="preserve">contributes only the controls whose own</w:t>
      </w:r>
      <w:r>
        <w:t xml:space="preserve"> </w:t>
      </w:r>
      <w:r>
        <w:t xml:space="preserve">subject is the training program itself (AT-2 / AT-3), not the many controls it</w:t>
      </w:r>
      <w:r>
        <w:t xml:space="preserve"> </w:t>
      </w:r>
      <w:r>
        <w:t xml:space="preserve">teaches.</w:t>
      </w:r>
    </w:p>
    <w:p>
      <w:pPr>
        <w:pStyle w:val="Compact"/>
        <w:numPr>
          <w:ilvl w:val="0"/>
          <w:numId w:val="1027"/>
        </w:numPr>
      </w:pPr>
      <w:r>
        <w:rPr>
          <w:b/>
          <w:bCs/>
        </w:rPr>
        <w:t xml:space="preserve">Volumes VII–IX (ServiceNow coordination, multi-cloud DDI, and day-2</w:t>
      </w:r>
      <w:r>
        <w:rPr>
          <w:b/>
          <w:bCs/>
        </w:rPr>
        <w:t xml:space="preserve"> </w:t>
      </w:r>
      <w:r>
        <w:rPr>
          <w:b/>
          <w:bCs/>
        </w:rPr>
        <w:t xml:space="preserve">operations)</w:t>
      </w:r>
      <w:r>
        <w:t xml:space="preserve"> </w:t>
      </w:r>
      <w:r>
        <w:t xml:space="preserve">record where a control is</w:t>
      </w:r>
      <w:r>
        <w:t xml:space="preserve"> </w:t>
      </w:r>
      <w:r>
        <w:rPr>
          <w:i/>
          <w:iCs/>
        </w:rPr>
        <w:t xml:space="preserve">coordinated, evidenced, or operated</w:t>
      </w:r>
      <w:r>
        <w:t xml:space="preserve"> </w:t>
      </w:r>
      <w:r>
        <w:t xml:space="preserve">—</w:t>
      </w:r>
      <w:r>
        <w:t xml:space="preserve"> </w:t>
      </w:r>
      <w:r>
        <w:t xml:space="preserve">drift raised as a tracked ServiceNow task, a change gated by an approved record,</w:t>
      </w:r>
      <w:r>
        <w:t xml:space="preserve"> </w:t>
      </w:r>
      <w:r>
        <w:t xml:space="preserve">an asset reconciled to the CM-8 join key. With one exception (</w:t>
      </w:r>
      <w:r>
        <w:rPr>
          <w:b/>
          <w:bCs/>
        </w:rPr>
        <w:t xml:space="preserve">CM-5</w:t>
      </w:r>
      <w:r>
        <w:t xml:space="preserve">, new in</w:t>
      </w:r>
      <w:r>
        <w:t xml:space="preserve"> </w:t>
      </w:r>
      <w:r>
        <w:t xml:space="preserve">Vol VIII), these volumes re-close control numbers the architecture volumes</w:t>
      </w:r>
      <w:r>
        <w:t xml:space="preserve"> </w:t>
      </w:r>
      <w:r>
        <w:t xml:space="preserve">already own, at a different plane (workflow/enforcement) — so a row here for one</w:t>
      </w:r>
      <w:r>
        <w:t xml:space="preserve"> </w:t>
      </w:r>
      <w:r>
        <w:t xml:space="preserve">of these volumes means</w:t>
      </w:r>
      <w:r>
        <w:t xml:space="preserve"> </w:t>
      </w:r>
      <w:r>
        <w:t xml:space="preserve">“this is where the control is</w:t>
      </w:r>
      <w:r>
        <w:t xml:space="preserve"> </w:t>
      </w:r>
      <w:r>
        <w:rPr>
          <w:i/>
          <w:iCs/>
        </w:rPr>
        <w:t xml:space="preserve">made operational and</w:t>
      </w:r>
      <w:r>
        <w:rPr>
          <w:i/>
          <w:iCs/>
        </w:rPr>
        <w:t xml:space="preserve"> </w:t>
      </w:r>
      <w:r>
        <w:rPr>
          <w:i/>
          <w:iCs/>
        </w:rPr>
        <w:t xml:space="preserve">evidenced</w:t>
      </w:r>
      <w:r>
        <w:t xml:space="preserve">,”</w:t>
      </w:r>
      <w:r>
        <w:t xml:space="preserve"> </w:t>
      </w:r>
      <w:r>
        <w:t xml:space="preserve">not a second independent closure claim. Actuation stays</w:t>
      </w:r>
      <w:r>
        <w:t xml:space="preserve"> </w:t>
      </w:r>
      <w:r>
        <w:t xml:space="preserve">platform-native throughout.</w:t>
      </w:r>
    </w:p>
    <w:p>
      <w:pPr>
        <w:pStyle w:val="Compact"/>
        <w:numPr>
          <w:ilvl w:val="0"/>
          <w:numId w:val="1027"/>
        </w:numPr>
      </w:pPr>
      <w:r>
        <w:rPr>
          <w:b/>
          <w:bCs/>
        </w:rPr>
        <w:t xml:space="preserve">Relationship to the compliance spine:</w:t>
      </w:r>
      <w:r>
        <w:t xml:space="preserve"> </w:t>
      </w:r>
      <w:r>
        <w:rPr>
          <w:rStyle w:val="VerbatimChar"/>
        </w:rPr>
        <w:t xml:space="preserve">federal-compliance-compliance-spine.yml</w:t>
      </w:r>
      <w:r>
        <w:t xml:space="preserve"> </w:t>
      </w:r>
      <w:r>
        <w:t xml:space="preserve">is the</w:t>
      </w:r>
      <w:r>
        <w:t xml:space="preserve"> </w:t>
      </w:r>
      <w:r>
        <w:t xml:space="preserve">single source of truth for the machine-checked closures, and the per-book</w:t>
      </w:r>
      <w:r>
        <w:t xml:space="preserve"> </w:t>
      </w:r>
      <w:r>
        <w:t xml:space="preserve">authorities tables are rendered from it and CI-gated against drift. The spine is</w:t>
      </w:r>
      <w:r>
        <w:t xml:space="preserve"> </w:t>
      </w:r>
      <w:r>
        <w:t xml:space="preserve">being progressively back-filled book by book (~21 of 72 books carry closure rows</w:t>
      </w:r>
      <w:r>
        <w:t xml:space="preserve"> </w:t>
      </w:r>
      <w:r>
        <w:t xml:space="preserve">today). A</w:t>
      </w:r>
      <w:r>
        <w:t xml:space="preserve"> </w:t>
      </w:r>
      <w:r>
        <w:rPr>
          <w:b/>
          <w:bCs/>
        </w:rPr>
        <w:t xml:space="preserve">machine-derived slice of this crosswalk is now rendered from the spine</w:t>
      </w:r>
      <w:r>
        <w:t xml:space="preserve"> </w:t>
      </w:r>
      <w:r>
        <w:t xml:space="preserve">by</w:t>
      </w:r>
      <w:r>
        <w:t xml:space="preserve"> </w:t>
      </w:r>
      <w:r>
        <w:rPr>
          <w:rStyle w:val="VerbatimChar"/>
        </w:rPr>
        <w:t xml:space="preserve">render_crosswalk.py</w:t>
      </w:r>
      <w:r>
        <w:t xml:space="preserve"> </w:t>
      </w:r>
      <w:r>
        <w:t xml:space="preserve">into</w:t>
      </w:r>
      <w:r>
        <w:t xml:space="preserve"> </w:t>
      </w:r>
      <w:r>
        <w:rPr>
          <w:rStyle w:val="VerbatimChar"/>
        </w:rPr>
        <w:t xml:space="preserve">Compliance_Spine_Crosswalk.md</w:t>
      </w:r>
      <w:r>
        <w:t xml:space="preserve">,</w:t>
      </w:r>
      <w:r>
        <w:t xml:space="preserve"> </w:t>
      </w:r>
      <w:r>
        <w:t xml:space="preserve">behind the same drift gate as the per-book tables — so the spine-provable subset</w:t>
      </w:r>
      <w:r>
        <w:t xml:space="preserve"> </w:t>
      </w:r>
      <w:r>
        <w:t xml:space="preserve">is auto-generated and cannot drift.</w:t>
      </w:r>
      <w:r>
        <w:t xml:space="preserve"> </w:t>
      </w:r>
      <w:r>
        <w:rPr>
          <w:b/>
          <w:bCs/>
        </w:rPr>
        <w:t xml:space="preserve">This master crosswalk remains</w:t>
      </w:r>
      <w:r>
        <w:rPr>
          <w:b/>
          <w:bCs/>
        </w:rPr>
        <w:t xml:space="preserve"> </w:t>
      </w:r>
      <w:r>
        <w:rPr>
          <w:b/>
          <w:bCs/>
        </w:rPr>
        <w:t xml:space="preserve">hand-maintained</w:t>
      </w:r>
      <w:r>
        <w:t xml:space="preserve"> </w:t>
      </w:r>
      <w:r>
        <w:t xml:space="preserve">for the controls in books the spine has not yet back-filled, so</w:t>
      </w:r>
      <w:r>
        <w:t xml:space="preserve"> </w:t>
      </w:r>
      <w:r>
        <w:t xml:space="preserve">it, not the generated slice, is presently the most complete series-wide control</w:t>
      </w:r>
      <w:r>
        <w:t xml:space="preserve"> </w:t>
      </w:r>
      <w:r>
        <w:t xml:space="preserve">view, at the cost of being author-maintained for that remainder. The end state is</w:t>
      </w:r>
      <w:r>
        <w:t xml:space="preserve"> </w:t>
      </w:r>
      <w:r>
        <w:t xml:space="preserve">for the generated slice to reach every book and this table to become fully</w:t>
      </w:r>
      <w:r>
        <w:t xml:space="preserve"> </w:t>
      </w:r>
      <w:r>
        <w:t xml:space="preserve">spine-rendered.</w:t>
      </w:r>
    </w:p>
    <w:p>
      <w:pPr>
        <w:pStyle w:val="Compact"/>
        <w:numPr>
          <w:ilvl w:val="0"/>
          <w:numId w:val="1027"/>
        </w:numPr>
      </w:pPr>
      <w:r>
        <w:rPr>
          <w:b/>
          <w:bCs/>
        </w:rPr>
        <w:t xml:space="preserve">Claim → evidence → test.</w:t>
      </w:r>
      <w:r>
        <w:t xml:space="preserve"> </w:t>
      </w:r>
      <w:r>
        <w:t xml:space="preserve">For the closure-bearing books, the spine now</w:t>
      </w:r>
      <w:r>
        <w:t xml:space="preserve"> </w:t>
      </w:r>
      <w:r>
        <w:t xml:space="preserve">renders a generated, CI-gated claim → evidence → test traceability</w:t>
      </w:r>
      <w:r>
        <w:t xml:space="preserve"> </w:t>
      </w:r>
      <w:r>
        <w:t xml:space="preserve">matrix: each of the 106 closure claims maps</w:t>
      </w:r>
      <w:r>
        <w:t xml:space="preserve"> </w:t>
      </w:r>
      <w:r>
        <w:t xml:space="preserve">to its evidence slot, its implementing kit (where one exists), and the named</w:t>
      </w:r>
      <w:r>
        <w:t xml:space="preserve"> </w:t>
      </w:r>
      <w:r>
        <w:t xml:space="preserve">falsifying test that would disprove it. It states the coverage honestly — the</w:t>
      </w:r>
      <w:r>
        <w:t xml:space="preserve"> </w:t>
      </w:r>
      <w:r>
        <w:t xml:space="preserve">spine’s generated closures cover</w:t>
      </w:r>
      <w:r>
        <w:t xml:space="preserve"> </w:t>
      </w:r>
      <w:r>
        <w:rPr>
          <w:b/>
          <w:bCs/>
        </w:rPr>
        <w:t xml:space="preserve">21 of 72 books</w:t>
      </w:r>
      <w:r>
        <w:t xml:space="preserve">, and only</w:t>
      </w:r>
      <w:r>
        <w:t xml:space="preserve"> </w:t>
      </w:r>
      <w:r>
        <w:rPr>
          <w:b/>
          <w:bCs/>
        </w:rPr>
        <w:t xml:space="preserve">13 of 106</w:t>
      </w:r>
      <w:r>
        <w:t xml:space="preserve"> </w:t>
      </w:r>
      <w:r>
        <w:t xml:space="preserve">claims yet carry a named test — so a reader can see exactly which claims are</w:t>
      </w:r>
      <w:r>
        <w:t xml:space="preserve"> </w:t>
      </w:r>
      <w:r>
        <w:t xml:space="preserve">verified, which are merely asserted, and which controls are hand-authored</w:t>
      </w:r>
      <w:r>
        <w:t xml:space="preserve"> </w:t>
      </w:r>
      <w:r>
        <w:t xml:space="preserve">outside the spine.</w:t>
      </w:r>
    </w:p>
    <w:p>
      <w:pPr>
        <w:pStyle w:val="FirstParagraph"/>
      </w:pPr>
      <w:r>
        <w:t xml:space="preserve">“Addressed here”</w:t>
      </w:r>
      <w:r>
        <w:t xml:space="preserve"> </w:t>
      </w:r>
      <w:r>
        <w:t xml:space="preserve">is a</w:t>
      </w:r>
      <w:r>
        <w:t xml:space="preserve"> </w:t>
      </w:r>
      <w:r>
        <w:rPr>
          <w:b/>
          <w:bCs/>
        </w:rPr>
        <w:t xml:space="preserve">coverage pointer, not a control-inheritance claim</w:t>
      </w:r>
      <w:r>
        <w:t xml:space="preserve">. Whether</w:t>
      </w:r>
      <w:r>
        <w:t xml:space="preserve"> </w:t>
      </w:r>
      <w:r>
        <w:t xml:space="preserve">a control is fully inherited, partially satisfied, or shared depends on the boundary</w:t>
      </w:r>
      <w:r>
        <w:t xml:space="preserve"> </w:t>
      </w:r>
      <w:r>
        <w:t xml:space="preserve">and the assessor’s determination — read the named book (and its evidence slot) for</w:t>
      </w:r>
      <w:r>
        <w:t xml:space="preserve"> </w:t>
      </w:r>
      <w:r>
        <w:t xml:space="preserve">the substantive treatment.</w:t>
      </w:r>
    </w:p>
    <w:bookmarkEnd w:id="116"/>
    <w:bookmarkStart w:id="117" w:name="master-control-crosswalk"/>
    <w:p>
      <w:pPr>
        <w:pStyle w:val="Heading1"/>
      </w:pPr>
      <w:r>
        <w:t xml:space="preserve">Master Control Crosswalk</w:t>
      </w:r>
    </w:p>
    <w:p>
      <w:pPr>
        <w:pStyle w:val="FirstParagraph"/>
      </w:pPr>
      <w:r>
        <w:t xml:space="preserve">Each NIST SP 800-53 Rev 5 control below is followed by the volume(s) and book(s) where the series addresses it. A control addressed in more than one book lists each — typically the architecture book that closes it, the Volume VI book that implements it as deployable code, and (for the coordination controls) the Volume VII/VIII/IX book that operates and evidences it through ServiceNow or the multi-cloud DDI plane. Control enhancements are listed as their own rows where a book cites the enhancement specifically.</w:t>
      </w:r>
    </w:p>
    <w:p>
      <w:pPr>
        <w:pStyle w:val="TableCaption"/>
      </w:pPr>
      <w:r>
        <w:t xml:space="preserve">Master NIST SP 800-53 Rev 5 control crosswalk — where each control is addressed across the series</w:t>
      </w:r>
    </w:p>
    <w:tbl>
      <w:tblPr>
        <w:tblStyle w:val="Table"/>
        <w:tblW w:type="pct" w:w="5000"/>
        <w:tblLayout w:type="fixed"/>
        <w:tblLook w:firstRow="1" w:lastRow="0" w:firstColumn="0" w:lastColumn="0" w:noHBand="0" w:noVBand="0" w:val="0020"/>
        <w:tblCaption w:val="Master NIST SP 800-53 Rev 5 control crosswalk — where each control is addressed across the series"/>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Family</w:t>
            </w:r>
          </w:p>
        </w:tc>
        <w:tc>
          <w:tcPr/>
          <w:p>
            <w:pPr>
              <w:pStyle w:val="Compact"/>
            </w:pPr>
            <w:r>
              <w:t xml:space="preserve">Where addressed</w:t>
            </w:r>
          </w:p>
        </w:tc>
        <w:tc>
          <w:tcPr/>
          <w:p>
            <w:pPr>
              <w:pStyle w:val="Compact"/>
            </w:pPr>
            <w:r>
              <w:t xml:space="preserve">FedRAMP 20x KSI</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AC</w:t>
            </w:r>
          </w:p>
        </w:tc>
        <w:tc>
          <w:tcPr/>
          <w:p>
            <w:pPr>
              <w:pStyle w:val="Compact"/>
            </w:pPr>
            <w:r>
              <w:t xml:space="preserve">Vol I Bk 04, Vol II Bk 01, Vol VI Bk 02, Vol VI Bk 03, Vol VII Bk 02, Vol IX Bk 01</w:t>
            </w:r>
          </w:p>
        </w:tc>
        <w:tc>
          <w:tcPr/>
          <w:p>
            <w:pPr>
              <w:pStyle w:val="Compact"/>
            </w:pPr>
            <w:r>
              <w:t xml:space="preserve">KSI-IAM</w:t>
            </w:r>
          </w:p>
        </w:tc>
      </w:tr>
      <w:tr>
        <w:tc>
          <w:tcPr/>
          <w:p>
            <w:pPr>
              <w:pStyle w:val="Compact"/>
            </w:pPr>
            <w:r>
              <w:rPr>
                <w:b/>
                <w:bCs/>
              </w:rPr>
              <w:t xml:space="preserve">AC-2(1)</w:t>
            </w:r>
          </w:p>
        </w:tc>
        <w:tc>
          <w:tcPr/>
          <w:p>
            <w:pPr>
              <w:pStyle w:val="Compact"/>
            </w:pPr>
            <w:r>
              <w:t xml:space="preserve">Account Management — Automated System Account Management</w:t>
            </w:r>
          </w:p>
        </w:tc>
        <w:tc>
          <w:tcPr/>
          <w:p>
            <w:pPr>
              <w:pStyle w:val="Compact"/>
            </w:pPr>
            <w:r>
              <w:t xml:space="preserve">AC</w:t>
            </w:r>
          </w:p>
        </w:tc>
        <w:tc>
          <w:tcPr/>
          <w:p>
            <w:pPr>
              <w:pStyle w:val="Compact"/>
            </w:pPr>
            <w:r>
              <w:t xml:space="preserve">Vol I Bk 04</w:t>
            </w:r>
          </w:p>
        </w:tc>
        <w:tc>
          <w:tcPr/>
          <w:p>
            <w:pPr>
              <w:pStyle w:val="Compact"/>
            </w:pPr>
            <w:r>
              <w:t xml:space="preserve">—</w:t>
            </w:r>
          </w:p>
        </w:tc>
      </w:tr>
      <w:tr>
        <w:tc>
          <w:tcPr/>
          <w:p>
            <w:pPr>
              <w:pStyle w:val="Compact"/>
            </w:pPr>
            <w:r>
              <w:rPr>
                <w:b/>
                <w:bCs/>
              </w:rPr>
              <w:t xml:space="preserve">AC-2(3)</w:t>
            </w:r>
          </w:p>
        </w:tc>
        <w:tc>
          <w:tcPr/>
          <w:p>
            <w:pPr>
              <w:pStyle w:val="Compact"/>
            </w:pPr>
            <w:r>
              <w:t xml:space="preserve">Account Management — Disable Accounts</w:t>
            </w:r>
          </w:p>
        </w:tc>
        <w:tc>
          <w:tcPr/>
          <w:p>
            <w:pPr>
              <w:pStyle w:val="Compact"/>
            </w:pPr>
            <w:r>
              <w:t xml:space="preserve">AC</w:t>
            </w:r>
          </w:p>
        </w:tc>
        <w:tc>
          <w:tcPr/>
          <w:p>
            <w:pPr>
              <w:pStyle w:val="Compact"/>
            </w:pPr>
            <w:r>
              <w:t xml:space="preserve">Vol IX Bk 05</w:t>
            </w:r>
          </w:p>
        </w:tc>
        <w:tc>
          <w:tcPr/>
          <w:p>
            <w:pPr>
              <w:pStyle w:val="Compact"/>
            </w:pPr>
            <w:r>
              <w:t xml:space="preserve">KSI-IAM</w:t>
            </w:r>
          </w:p>
        </w:tc>
      </w:tr>
      <w:tr>
        <w:tc>
          <w:tcPr/>
          <w:p>
            <w:pPr>
              <w:pStyle w:val="Compact"/>
            </w:pPr>
            <w:r>
              <w:rPr>
                <w:b/>
                <w:bCs/>
              </w:rPr>
              <w:t xml:space="preserve">AC-2(4)</w:t>
            </w:r>
          </w:p>
        </w:tc>
        <w:tc>
          <w:tcPr/>
          <w:p>
            <w:pPr>
              <w:pStyle w:val="Compact"/>
            </w:pPr>
            <w:r>
              <w:t xml:space="preserve">Account Management — Automated Audit Actions</w:t>
            </w:r>
          </w:p>
        </w:tc>
        <w:tc>
          <w:tcPr/>
          <w:p>
            <w:pPr>
              <w:pStyle w:val="Compact"/>
            </w:pPr>
            <w:r>
              <w:t xml:space="preserve">AC</w:t>
            </w:r>
          </w:p>
        </w:tc>
        <w:tc>
          <w:tcPr/>
          <w:p>
            <w:pPr>
              <w:pStyle w:val="Compact"/>
            </w:pPr>
            <w:r>
              <w:t xml:space="preserve">Vol IX Bk 05</w:t>
            </w:r>
          </w:p>
        </w:tc>
        <w:tc>
          <w:tcPr/>
          <w:p>
            <w:pPr>
              <w:pStyle w:val="Compact"/>
            </w:pPr>
            <w:r>
              <w:t xml:space="preserve">KSI-MLA</w:t>
            </w:r>
          </w:p>
        </w:tc>
      </w:tr>
      <w:tr>
        <w:tc>
          <w:tcPr/>
          <w:p>
            <w:pPr>
              <w:pStyle w:val="Compact"/>
            </w:pPr>
            <w:r>
              <w:rPr>
                <w:b/>
                <w:bCs/>
              </w:rPr>
              <w:t xml:space="preserve">AC-2(13)</w:t>
            </w:r>
          </w:p>
        </w:tc>
        <w:tc>
          <w:tcPr/>
          <w:p>
            <w:pPr>
              <w:pStyle w:val="Compact"/>
            </w:pPr>
            <w:r>
              <w:t xml:space="preserve">Account Management — Disable Accounts for High-Risk Individuals</w:t>
            </w:r>
          </w:p>
        </w:tc>
        <w:tc>
          <w:tcPr/>
          <w:p>
            <w:pPr>
              <w:pStyle w:val="Compact"/>
            </w:pPr>
            <w:r>
              <w:t xml:space="preserve">AC</w:t>
            </w:r>
          </w:p>
        </w:tc>
        <w:tc>
          <w:tcPr/>
          <w:p>
            <w:pPr>
              <w:pStyle w:val="Compact"/>
            </w:pPr>
            <w:r>
              <w:t xml:space="preserve">Vol VI Bk 04</w:t>
            </w:r>
          </w:p>
        </w:tc>
        <w:tc>
          <w:tcPr/>
          <w:p>
            <w:pPr>
              <w:pStyle w:val="Compact"/>
            </w:pPr>
            <w:r>
              <w:t xml:space="preserve">—</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AC</w:t>
            </w:r>
          </w:p>
        </w:tc>
        <w:tc>
          <w:tcPr/>
          <w:p>
            <w:pPr>
              <w:pStyle w:val="Compact"/>
            </w:pPr>
            <w:r>
              <w:t xml:space="preserve">Vol I Bk 02, Vol II Bk 01</w:t>
            </w:r>
          </w:p>
        </w:tc>
        <w:tc>
          <w:tcPr/>
          <w:p>
            <w:pPr>
              <w:pStyle w:val="Compact"/>
            </w:pPr>
            <w:r>
              <w:t xml:space="preserve">—</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AC</w:t>
            </w:r>
          </w:p>
        </w:tc>
        <w:tc>
          <w:tcPr/>
          <w:p>
            <w:pPr>
              <w:pStyle w:val="Compact"/>
            </w:pPr>
            <w:r>
              <w:t xml:space="preserve">Vol I Bk 01, Vol I Bk 05, Vol I Bk 06, Vol I Bk 07, Vol III Bk 05, Vol VI Bk 01, Vol VI Bk 03, Vol VI Bk 05</w:t>
            </w:r>
          </w:p>
        </w:tc>
        <w:tc>
          <w:tcPr/>
          <w:p>
            <w:pPr>
              <w:pStyle w:val="Compact"/>
            </w:pPr>
            <w:r>
              <w:t xml:space="preserve">KSI-CNA</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AC</w:t>
            </w:r>
          </w:p>
        </w:tc>
        <w:tc>
          <w:tcPr/>
          <w:p>
            <w:pPr>
              <w:pStyle w:val="Compact"/>
            </w:pPr>
            <w:r>
              <w:t xml:space="preserve">Vol III Bk 01, Vol VI Bk 02</w:t>
            </w:r>
          </w:p>
        </w:tc>
        <w:tc>
          <w:tcPr/>
          <w:p>
            <w:pPr>
              <w:pStyle w:val="Compact"/>
            </w:pPr>
            <w:r>
              <w:t xml:space="preserve">—</w:t>
            </w:r>
          </w:p>
        </w:tc>
      </w:tr>
      <w:tr>
        <w:tc>
          <w:tcPr/>
          <w:p>
            <w:pPr>
              <w:pStyle w:val="Compact"/>
            </w:pPr>
            <w:r>
              <w:rPr>
                <w:b/>
                <w:bCs/>
              </w:rPr>
              <w:t xml:space="preserve">AC-6</w:t>
            </w:r>
          </w:p>
        </w:tc>
        <w:tc>
          <w:tcPr/>
          <w:p>
            <w:pPr>
              <w:pStyle w:val="Compact"/>
            </w:pPr>
            <w:r>
              <w:t xml:space="preserve">Least Privilege</w:t>
            </w:r>
          </w:p>
        </w:tc>
        <w:tc>
          <w:tcPr/>
          <w:p>
            <w:pPr>
              <w:pStyle w:val="Compact"/>
            </w:pPr>
            <w:r>
              <w:t xml:space="preserve">AC</w:t>
            </w:r>
          </w:p>
        </w:tc>
        <w:tc>
          <w:tcPr/>
          <w:p>
            <w:pPr>
              <w:pStyle w:val="Compact"/>
            </w:pPr>
            <w:r>
              <w:t xml:space="preserve">Vol III Bk 01, Vol VI Bk 02, Vol IX Bk 01, Vol IX Bk 03</w:t>
            </w:r>
          </w:p>
        </w:tc>
        <w:tc>
          <w:tcPr/>
          <w:p>
            <w:pPr>
              <w:pStyle w:val="Compact"/>
            </w:pPr>
            <w:r>
              <w:t xml:space="preserve">KSI-IAM</w:t>
            </w:r>
          </w:p>
        </w:tc>
      </w:tr>
      <w:tr>
        <w:tc>
          <w:tcPr/>
          <w:p>
            <w:pPr>
              <w:pStyle w:val="Compact"/>
            </w:pPr>
            <w:r>
              <w:rPr>
                <w:b/>
                <w:bCs/>
              </w:rPr>
              <w:t xml:space="preserve">AC-6(1)</w:t>
            </w:r>
          </w:p>
        </w:tc>
        <w:tc>
          <w:tcPr/>
          <w:p>
            <w:pPr>
              <w:pStyle w:val="Compact"/>
            </w:pPr>
            <w:r>
              <w:t xml:space="preserve">Least Privilege — Authorize Access to Security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AC-6(2)</w:t>
            </w:r>
          </w:p>
        </w:tc>
        <w:tc>
          <w:tcPr/>
          <w:p>
            <w:pPr>
              <w:pStyle w:val="Compact"/>
            </w:pPr>
            <w:r>
              <w:t xml:space="preserve">Least Privilege — Non-Privileged Access for Nonsecurity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AC-6(5)</w:t>
            </w:r>
          </w:p>
        </w:tc>
        <w:tc>
          <w:tcPr/>
          <w:p>
            <w:pPr>
              <w:pStyle w:val="Compact"/>
            </w:pPr>
            <w:r>
              <w:t xml:space="preserve">Least Privilege — Privileged Accounts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AC-6(9)</w:t>
            </w:r>
          </w:p>
        </w:tc>
        <w:tc>
          <w:tcPr/>
          <w:p>
            <w:pPr>
              <w:pStyle w:val="Compact"/>
            </w:pPr>
            <w:r>
              <w:t xml:space="preserve">Least Privilege — Log Use of Privileged Functions</w:t>
            </w:r>
          </w:p>
        </w:tc>
        <w:tc>
          <w:tcPr/>
          <w:p>
            <w:pPr>
              <w:pStyle w:val="Compact"/>
            </w:pPr>
            <w:r>
              <w:t xml:space="preserve">AC</w:t>
            </w:r>
          </w:p>
        </w:tc>
        <w:tc>
          <w:tcPr/>
          <w:p>
            <w:pPr>
              <w:pStyle w:val="Compact"/>
            </w:pPr>
            <w:r>
              <w:t xml:space="preserve">Vol III Bk 01, Vol VI Bk 03</w:t>
            </w:r>
          </w:p>
        </w:tc>
        <w:tc>
          <w:tcPr/>
          <w:p>
            <w:pPr>
              <w:pStyle w:val="Compact"/>
            </w:pPr>
            <w:r>
              <w:t xml:space="preserve">—</w:t>
            </w:r>
          </w:p>
        </w:tc>
      </w:tr>
      <w:tr>
        <w:tc>
          <w:tcPr/>
          <w:p>
            <w:pPr>
              <w:pStyle w:val="Compact"/>
            </w:pPr>
            <w:r>
              <w:rPr>
                <w:b/>
                <w:bCs/>
              </w:rPr>
              <w:t xml:space="preserve">AC-6(10)</w:t>
            </w:r>
          </w:p>
        </w:tc>
        <w:tc>
          <w:tcPr/>
          <w:p>
            <w:pPr>
              <w:pStyle w:val="Compact"/>
            </w:pPr>
            <w:r>
              <w:t xml:space="preserve">Least Privilege — Prohibit Non-Privileged Users from Executing Privileged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AC-7</w:t>
            </w:r>
          </w:p>
        </w:tc>
        <w:tc>
          <w:tcPr/>
          <w:p>
            <w:pPr>
              <w:pStyle w:val="Compact"/>
            </w:pPr>
            <w:r>
              <w:t xml:space="preserve">Unsuccessful Logon Attempts</w:t>
            </w:r>
          </w:p>
        </w:tc>
        <w:tc>
          <w:tcPr/>
          <w:p>
            <w:pPr>
              <w:pStyle w:val="Compact"/>
            </w:pPr>
            <w:r>
              <w:t xml:space="preserve">AC</w:t>
            </w:r>
          </w:p>
        </w:tc>
        <w:tc>
          <w:tcPr/>
          <w:p>
            <w:pPr>
              <w:pStyle w:val="Compact"/>
            </w:pPr>
            <w:r>
              <w:t xml:space="preserve">Vol VI Bk 03</w:t>
            </w:r>
          </w:p>
        </w:tc>
        <w:tc>
          <w:tcPr/>
          <w:p>
            <w:pPr>
              <w:pStyle w:val="Compact"/>
            </w:pPr>
            <w:r>
              <w:t xml:space="preserve">—</w:t>
            </w:r>
          </w:p>
        </w:tc>
      </w:tr>
      <w:tr>
        <w:tc>
          <w:tcPr/>
          <w:p>
            <w:pPr>
              <w:pStyle w:val="Compact"/>
            </w:pPr>
            <w:r>
              <w:rPr>
                <w:b/>
                <w:bCs/>
              </w:rPr>
              <w:t xml:space="preserve">AC-11</w:t>
            </w:r>
          </w:p>
        </w:tc>
        <w:tc>
          <w:tcPr/>
          <w:p>
            <w:pPr>
              <w:pStyle w:val="Compact"/>
            </w:pPr>
            <w:r>
              <w:t xml:space="preserve">Device Lock</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AC-12</w:t>
            </w:r>
          </w:p>
        </w:tc>
        <w:tc>
          <w:tcPr/>
          <w:p>
            <w:pPr>
              <w:pStyle w:val="Compact"/>
            </w:pPr>
            <w:r>
              <w:t xml:space="preserve">Session Termination</w:t>
            </w:r>
          </w:p>
        </w:tc>
        <w:tc>
          <w:tcPr/>
          <w:p>
            <w:pPr>
              <w:pStyle w:val="Compact"/>
            </w:pPr>
            <w:r>
              <w:t xml:space="preserve">AC</w:t>
            </w:r>
          </w:p>
        </w:tc>
        <w:tc>
          <w:tcPr/>
          <w:p>
            <w:pPr>
              <w:pStyle w:val="Compact"/>
            </w:pPr>
            <w:r>
              <w:t xml:space="preserve">Vol III Bk 01, Vol VI Bk 03, Vol VI Bk 04</w:t>
            </w:r>
          </w:p>
        </w:tc>
        <w:tc>
          <w:tcPr/>
          <w:p>
            <w:pPr>
              <w:pStyle w:val="Compact"/>
            </w:pPr>
            <w:r>
              <w:t xml:space="preserve">—</w:t>
            </w:r>
          </w:p>
        </w:tc>
      </w:tr>
      <w:tr>
        <w:tc>
          <w:tcPr/>
          <w:p>
            <w:pPr>
              <w:pStyle w:val="Compact"/>
            </w:pPr>
            <w:r>
              <w:rPr>
                <w:b/>
                <w:bCs/>
              </w:rPr>
              <w:t xml:space="preserve">AC-17</w:t>
            </w:r>
          </w:p>
        </w:tc>
        <w:tc>
          <w:tcPr/>
          <w:p>
            <w:pPr>
              <w:pStyle w:val="Compact"/>
            </w:pPr>
            <w:r>
              <w:t xml:space="preserve">Remote Access</w:t>
            </w:r>
          </w:p>
        </w:tc>
        <w:tc>
          <w:tcPr/>
          <w:p>
            <w:pPr>
              <w:pStyle w:val="Compact"/>
            </w:pPr>
            <w:r>
              <w:t xml:space="preserve">AC</w:t>
            </w:r>
          </w:p>
        </w:tc>
        <w:tc>
          <w:tcPr/>
          <w:p>
            <w:pPr>
              <w:pStyle w:val="Compact"/>
            </w:pPr>
            <w:r>
              <w:t xml:space="preserve">Vol I Bk 02, Vol I Bk 07, Vol II Bk 01</w:t>
            </w:r>
          </w:p>
        </w:tc>
        <w:tc>
          <w:tcPr/>
          <w:p>
            <w:pPr>
              <w:pStyle w:val="Compact"/>
            </w:pPr>
            <w:r>
              <w:t xml:space="preserve">KSI-CNA</w:t>
            </w:r>
          </w:p>
        </w:tc>
      </w:tr>
      <w:tr>
        <w:tc>
          <w:tcPr/>
          <w:p>
            <w:pPr>
              <w:pStyle w:val="Compact"/>
            </w:pPr>
            <w:r>
              <w:rPr>
                <w:b/>
                <w:bCs/>
              </w:rPr>
              <w:t xml:space="preserve">AC-19</w:t>
            </w:r>
          </w:p>
        </w:tc>
        <w:tc>
          <w:tcPr/>
          <w:p>
            <w:pPr>
              <w:pStyle w:val="Compact"/>
            </w:pPr>
            <w:r>
              <w:t xml:space="preserve">Access Control for Mobile Devices</w:t>
            </w:r>
          </w:p>
        </w:tc>
        <w:tc>
          <w:tcPr/>
          <w:p>
            <w:pPr>
              <w:pStyle w:val="Compact"/>
            </w:pPr>
            <w:r>
              <w:t xml:space="preserve">AC</w:t>
            </w:r>
          </w:p>
        </w:tc>
        <w:tc>
          <w:tcPr/>
          <w:p>
            <w:pPr>
              <w:pStyle w:val="Compact"/>
            </w:pPr>
            <w:r>
              <w:t xml:space="preserve">Vol I Bk 02, Vol I Bk 07</w:t>
            </w:r>
          </w:p>
        </w:tc>
        <w:tc>
          <w:tcPr/>
          <w:p>
            <w:pPr>
              <w:pStyle w:val="Compact"/>
            </w:pPr>
            <w:r>
              <w:t xml:space="preserve">KSI-IAM</w:t>
            </w:r>
          </w:p>
        </w:tc>
      </w:tr>
      <w:tr>
        <w:tc>
          <w:tcPr/>
          <w:p>
            <w:pPr>
              <w:pStyle w:val="Compact"/>
            </w:pPr>
            <w:r>
              <w:rPr>
                <w:b/>
                <w:bCs/>
              </w:rPr>
              <w:t xml:space="preserve">AC-20</w:t>
            </w:r>
          </w:p>
        </w:tc>
        <w:tc>
          <w:tcPr/>
          <w:p>
            <w:pPr>
              <w:pStyle w:val="Compact"/>
            </w:pPr>
            <w:r>
              <w:t xml:space="preserve">Use of External Systems</w:t>
            </w:r>
          </w:p>
        </w:tc>
        <w:tc>
          <w:tcPr/>
          <w:p>
            <w:pPr>
              <w:pStyle w:val="Compact"/>
            </w:pPr>
            <w:r>
              <w:t xml:space="preserve">AC</w:t>
            </w:r>
          </w:p>
        </w:tc>
        <w:tc>
          <w:tcPr/>
          <w:p>
            <w:pPr>
              <w:pStyle w:val="Compact"/>
            </w:pPr>
            <w:r>
              <w:t xml:space="preserve">Vol I Bk 02, Vol IX Bk 05</w:t>
            </w:r>
          </w:p>
        </w:tc>
        <w:tc>
          <w:tcPr/>
          <w:p>
            <w:pPr>
              <w:pStyle w:val="Compact"/>
            </w:pPr>
            <w:r>
              <w:t xml:space="preserve">KSI-IAM</w:t>
            </w:r>
          </w:p>
        </w:tc>
      </w:tr>
      <w:tr>
        <w:tc>
          <w:tcPr/>
          <w:p>
            <w:pPr>
              <w:pStyle w:val="Compact"/>
            </w:pPr>
            <w:r>
              <w:rPr>
                <w:b/>
                <w:bCs/>
              </w:rPr>
              <w:t xml:space="preserve">AT-2</w:t>
            </w:r>
          </w:p>
        </w:tc>
        <w:tc>
          <w:tcPr/>
          <w:p>
            <w:pPr>
              <w:pStyle w:val="Compact"/>
            </w:pPr>
            <w:r>
              <w:t xml:space="preserve">Literacy Training and Awareness</w:t>
            </w:r>
          </w:p>
        </w:tc>
        <w:tc>
          <w:tcPr/>
          <w:p>
            <w:pPr>
              <w:pStyle w:val="Compact"/>
            </w:pPr>
            <w:r>
              <w:t xml:space="preserve">AT</w:t>
            </w:r>
          </w:p>
        </w:tc>
        <w:tc>
          <w:tcPr/>
          <w:p>
            <w:pPr>
              <w:pStyle w:val="Compact"/>
            </w:pPr>
            <w:r>
              <w:t xml:space="preserve">Vol IV Bk 05, Vol V Bk 01, Vol V Bk 02, Vol V Bk 03</w:t>
            </w:r>
          </w:p>
        </w:tc>
        <w:tc>
          <w:tcPr/>
          <w:p>
            <w:pPr>
              <w:pStyle w:val="Compact"/>
            </w:pPr>
            <w:r>
              <w:t xml:space="preserve">KSI-022</w:t>
            </w:r>
          </w:p>
        </w:tc>
      </w:tr>
      <w:tr>
        <w:tc>
          <w:tcPr/>
          <w:p>
            <w:pPr>
              <w:pStyle w:val="Compact"/>
            </w:pPr>
            <w:r>
              <w:rPr>
                <w:b/>
                <w:bCs/>
              </w:rPr>
              <w:t xml:space="preserve">AT-2(1)</w:t>
            </w:r>
          </w:p>
        </w:tc>
        <w:tc>
          <w:tcPr/>
          <w:p>
            <w:pPr>
              <w:pStyle w:val="Compact"/>
            </w:pPr>
            <w:r>
              <w:t xml:space="preserve">Literacy Training and Awareness — Practical Exercises</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AT-2(2)</w:t>
            </w:r>
          </w:p>
        </w:tc>
        <w:tc>
          <w:tcPr/>
          <w:p>
            <w:pPr>
              <w:pStyle w:val="Compact"/>
            </w:pPr>
            <w:r>
              <w:t xml:space="preserve">Literacy Training and Awareness — Insider Threat</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AT-3</w:t>
            </w:r>
          </w:p>
        </w:tc>
        <w:tc>
          <w:tcPr/>
          <w:p>
            <w:pPr>
              <w:pStyle w:val="Compact"/>
            </w:pPr>
            <w:r>
              <w:t xml:space="preserve">Role-based Training</w:t>
            </w:r>
          </w:p>
        </w:tc>
        <w:tc>
          <w:tcPr/>
          <w:p>
            <w:pPr>
              <w:pStyle w:val="Compact"/>
            </w:pPr>
            <w:r>
              <w:t xml:space="preserve">AT</w:t>
            </w:r>
          </w:p>
        </w:tc>
        <w:tc>
          <w:tcPr/>
          <w:p>
            <w:pPr>
              <w:pStyle w:val="Compact"/>
            </w:pPr>
            <w:r>
              <w:t xml:space="preserve">Vol IV Bk 05, Vol V Bk 01, Vol V Bk 02, Vol V Bk 03</w:t>
            </w:r>
          </w:p>
        </w:tc>
        <w:tc>
          <w:tcPr/>
          <w:p>
            <w:pPr>
              <w:pStyle w:val="Compact"/>
            </w:pPr>
            <w:r>
              <w:t xml:space="preserve">KSI-022</w:t>
            </w:r>
          </w:p>
        </w:tc>
      </w:tr>
      <w:tr>
        <w:tc>
          <w:tcPr/>
          <w:p>
            <w:pPr>
              <w:pStyle w:val="Compact"/>
            </w:pPr>
            <w:r>
              <w:rPr>
                <w:b/>
                <w:bCs/>
              </w:rPr>
              <w:t xml:space="preserve">AT-3(3)</w:t>
            </w:r>
          </w:p>
        </w:tc>
        <w:tc>
          <w:tcPr/>
          <w:p>
            <w:pPr>
              <w:pStyle w:val="Compact"/>
            </w:pPr>
            <w:r>
              <w:t xml:space="preserve">Role-based Training — Practical Exercises</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AT-3(5)</w:t>
            </w:r>
          </w:p>
        </w:tc>
        <w:tc>
          <w:tcPr/>
          <w:p>
            <w:pPr>
              <w:pStyle w:val="Compact"/>
            </w:pPr>
            <w:r>
              <w:t xml:space="preserve">Role-based Training — Processing Personally Identifiable Information</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AT-4</w:t>
            </w:r>
          </w:p>
        </w:tc>
        <w:tc>
          <w:tcPr/>
          <w:p>
            <w:pPr>
              <w:pStyle w:val="Compact"/>
            </w:pPr>
            <w:r>
              <w:t xml:space="preserve">Training Records</w:t>
            </w:r>
          </w:p>
        </w:tc>
        <w:tc>
          <w:tcPr/>
          <w:p>
            <w:pPr>
              <w:pStyle w:val="Compact"/>
            </w:pPr>
            <w:r>
              <w:t xml:space="preserve">AT</w:t>
            </w:r>
          </w:p>
        </w:tc>
        <w:tc>
          <w:tcPr/>
          <w:p>
            <w:pPr>
              <w:pStyle w:val="Compact"/>
            </w:pPr>
            <w:r>
              <w:t xml:space="preserve">Vol IV Bk 05</w:t>
            </w:r>
          </w:p>
        </w:tc>
        <w:tc>
          <w:tcPr/>
          <w:p>
            <w:pPr>
              <w:pStyle w:val="Compact"/>
            </w:pPr>
            <w:r>
              <w:t xml:space="preserve">KSI-022</w:t>
            </w:r>
          </w:p>
        </w:tc>
      </w:tr>
      <w:tr>
        <w:tc>
          <w:tcPr/>
          <w:p>
            <w:pPr>
              <w:pStyle w:val="Compact"/>
            </w:pPr>
            <w:r>
              <w:rPr>
                <w:b/>
                <w:bCs/>
              </w:rPr>
              <w:t xml:space="preserve">AU-2</w:t>
            </w:r>
          </w:p>
        </w:tc>
        <w:tc>
          <w:tcPr/>
          <w:p>
            <w:pPr>
              <w:pStyle w:val="Compact"/>
            </w:pPr>
            <w:r>
              <w:t xml:space="preserve">Event Logging</w:t>
            </w:r>
          </w:p>
        </w:tc>
        <w:tc>
          <w:tcPr/>
          <w:p>
            <w:pPr>
              <w:pStyle w:val="Compact"/>
            </w:pPr>
            <w:r>
              <w:t xml:space="preserve">AU</w:t>
            </w:r>
          </w:p>
        </w:tc>
        <w:tc>
          <w:tcPr/>
          <w:p>
            <w:pPr>
              <w:pStyle w:val="Compact"/>
            </w:pPr>
            <w:r>
              <w:t xml:space="preserve">Vol I Bk 01, Vol I Bk 05, Vol I Bk 06, Vol II Bk 01, Vol VIII Bk 07, Vol IX Bk 04</w:t>
            </w:r>
          </w:p>
        </w:tc>
        <w:tc>
          <w:tcPr/>
          <w:p>
            <w:pPr>
              <w:pStyle w:val="Compact"/>
            </w:pPr>
            <w:r>
              <w:t xml:space="preserve">KSI-MLA</w:t>
            </w:r>
          </w:p>
        </w:tc>
      </w:tr>
      <w:tr>
        <w:tc>
          <w:tcPr/>
          <w:p>
            <w:pPr>
              <w:pStyle w:val="Compact"/>
            </w:pPr>
            <w:r>
              <w:rPr>
                <w:b/>
                <w:bCs/>
              </w:rPr>
              <w:t xml:space="preserve">AU-3</w:t>
            </w:r>
          </w:p>
        </w:tc>
        <w:tc>
          <w:tcPr/>
          <w:p>
            <w:pPr>
              <w:pStyle w:val="Compact"/>
            </w:pPr>
            <w:r>
              <w:t xml:space="preserve">Content of Audit Records</w:t>
            </w:r>
          </w:p>
        </w:tc>
        <w:tc>
          <w:tcPr/>
          <w:p>
            <w:pPr>
              <w:pStyle w:val="Compact"/>
            </w:pPr>
            <w:r>
              <w:t xml:space="preserve">AU</w:t>
            </w:r>
          </w:p>
        </w:tc>
        <w:tc>
          <w:tcPr/>
          <w:p>
            <w:pPr>
              <w:pStyle w:val="Compact"/>
            </w:pPr>
            <w:r>
              <w:t xml:space="preserve">Vol III Bk 07</w:t>
            </w:r>
          </w:p>
        </w:tc>
        <w:tc>
          <w:tcPr/>
          <w:p>
            <w:pPr>
              <w:pStyle w:val="Compact"/>
            </w:pPr>
            <w:r>
              <w:t xml:space="preserve">KSI-MLA</w:t>
            </w:r>
          </w:p>
        </w:tc>
      </w:tr>
      <w:tr>
        <w:tc>
          <w:tcPr/>
          <w:p>
            <w:pPr>
              <w:pStyle w:val="Compact"/>
            </w:pPr>
            <w:r>
              <w:rPr>
                <w:b/>
                <w:bCs/>
              </w:rPr>
              <w:t xml:space="preserve">AU-6</w:t>
            </w:r>
          </w:p>
        </w:tc>
        <w:tc>
          <w:tcPr/>
          <w:p>
            <w:pPr>
              <w:pStyle w:val="Compact"/>
            </w:pPr>
            <w:r>
              <w:t xml:space="preserve">Audit Record Review, Analysis, and Reporting</w:t>
            </w:r>
          </w:p>
        </w:tc>
        <w:tc>
          <w:tcPr/>
          <w:p>
            <w:pPr>
              <w:pStyle w:val="Compact"/>
            </w:pPr>
            <w:r>
              <w:t xml:space="preserve">AU</w:t>
            </w:r>
          </w:p>
        </w:tc>
        <w:tc>
          <w:tcPr/>
          <w:p>
            <w:pPr>
              <w:pStyle w:val="Compact"/>
            </w:pPr>
            <w:r>
              <w:t xml:space="preserve">Vol III Bk 06, Vol VI Bk 03, Vol VI Bk 07</w:t>
            </w:r>
          </w:p>
        </w:tc>
        <w:tc>
          <w:tcPr/>
          <w:p>
            <w:pPr>
              <w:pStyle w:val="Compact"/>
            </w:pPr>
            <w:r>
              <w:t xml:space="preserve">—</w:t>
            </w:r>
          </w:p>
        </w:tc>
      </w:tr>
      <w:tr>
        <w:tc>
          <w:tcPr/>
          <w:p>
            <w:pPr>
              <w:pStyle w:val="Compact"/>
            </w:pPr>
            <w:r>
              <w:rPr>
                <w:b/>
                <w:bCs/>
              </w:rPr>
              <w:t xml:space="preserve">AU-6(1)</w:t>
            </w:r>
          </w:p>
        </w:tc>
        <w:tc>
          <w:tcPr/>
          <w:p>
            <w:pPr>
              <w:pStyle w:val="Compact"/>
            </w:pPr>
            <w:r>
              <w:t xml:space="preserve">Automated Process Integration</w:t>
            </w:r>
          </w:p>
        </w:tc>
        <w:tc>
          <w:tcPr/>
          <w:p>
            <w:pPr>
              <w:pStyle w:val="Compact"/>
            </w:pPr>
            <w:r>
              <w:t xml:space="preserve">AU</w:t>
            </w:r>
          </w:p>
        </w:tc>
        <w:tc>
          <w:tcPr/>
          <w:p>
            <w:pPr>
              <w:pStyle w:val="Compact"/>
            </w:pPr>
            <w:r>
              <w:t xml:space="preserve">Vol III Bk 06, Vol III Bk 07</w:t>
            </w:r>
          </w:p>
        </w:tc>
        <w:tc>
          <w:tcPr/>
          <w:p>
            <w:pPr>
              <w:pStyle w:val="Compact"/>
            </w:pPr>
            <w:r>
              <w:t xml:space="preserve">KSI-MLA</w:t>
            </w:r>
          </w:p>
        </w:tc>
      </w:tr>
      <w:tr>
        <w:tc>
          <w:tcPr/>
          <w:p>
            <w:pPr>
              <w:pStyle w:val="Compact"/>
            </w:pPr>
            <w:r>
              <w:rPr>
                <w:b/>
                <w:bCs/>
              </w:rPr>
              <w:t xml:space="preserve">AU-6(4)</w:t>
            </w:r>
          </w:p>
        </w:tc>
        <w:tc>
          <w:tcPr/>
          <w:p>
            <w:pPr>
              <w:pStyle w:val="Compact"/>
            </w:pPr>
            <w:r>
              <w:t xml:space="preserve">Central Review and Analysis</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AU-7</w:t>
            </w:r>
          </w:p>
        </w:tc>
        <w:tc>
          <w:tcPr/>
          <w:p>
            <w:pPr>
              <w:pStyle w:val="Compact"/>
            </w:pPr>
            <w:r>
              <w:t xml:space="preserve">Audit Record Reduction and Report Generation</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AU-8</w:t>
            </w:r>
          </w:p>
        </w:tc>
        <w:tc>
          <w:tcPr/>
          <w:p>
            <w:pPr>
              <w:pStyle w:val="Compact"/>
            </w:pPr>
            <w:r>
              <w:t xml:space="preserve">Time Stamps</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AU</w:t>
            </w:r>
          </w:p>
        </w:tc>
        <w:tc>
          <w:tcPr/>
          <w:p>
            <w:pPr>
              <w:pStyle w:val="Compact"/>
            </w:pPr>
            <w:r>
              <w:t xml:space="preserve">Vol II Bk 03</w:t>
            </w:r>
          </w:p>
        </w:tc>
        <w:tc>
          <w:tcPr/>
          <w:p>
            <w:pPr>
              <w:pStyle w:val="Compact"/>
            </w:pPr>
            <w:r>
              <w:t xml:space="preserve">—</w:t>
            </w:r>
          </w:p>
        </w:tc>
      </w:tr>
      <w:tr>
        <w:tc>
          <w:tcPr/>
          <w:p>
            <w:pPr>
              <w:pStyle w:val="Compact"/>
            </w:pPr>
            <w:r>
              <w:rPr>
                <w:b/>
                <w:bCs/>
              </w:rPr>
              <w:t xml:space="preserve">AU-10</w:t>
            </w:r>
          </w:p>
        </w:tc>
        <w:tc>
          <w:tcPr/>
          <w:p>
            <w:pPr>
              <w:pStyle w:val="Compact"/>
            </w:pPr>
            <w:r>
              <w:t xml:space="preserve">Non-repudiation</w:t>
            </w:r>
          </w:p>
        </w:tc>
        <w:tc>
          <w:tcPr/>
          <w:p>
            <w:pPr>
              <w:pStyle w:val="Compact"/>
            </w:pPr>
            <w:r>
              <w:t xml:space="preserve">AU</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AU-11</w:t>
            </w:r>
          </w:p>
        </w:tc>
        <w:tc>
          <w:tcPr/>
          <w:p>
            <w:pPr>
              <w:pStyle w:val="Compact"/>
            </w:pPr>
            <w:r>
              <w:t xml:space="preserve">Audit Record Retention</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AU</w:t>
            </w:r>
          </w:p>
        </w:tc>
        <w:tc>
          <w:tcPr/>
          <w:p>
            <w:pPr>
              <w:pStyle w:val="Compact"/>
            </w:pPr>
            <w:r>
              <w:t xml:space="preserve">Vol I Bk 01, Vol I Bk 05, Vol I Bk 06, Vol II Bk 01, Vol III Bk 07, Vol VI Bk 07</w:t>
            </w:r>
          </w:p>
        </w:tc>
        <w:tc>
          <w:tcPr/>
          <w:p>
            <w:pPr>
              <w:pStyle w:val="Compact"/>
            </w:pPr>
            <w:r>
              <w:t xml:space="preserve">KSI-MLA</w:t>
            </w:r>
          </w:p>
        </w:tc>
      </w:tr>
      <w:tr>
        <w:tc>
          <w:tcPr/>
          <w:p>
            <w:pPr>
              <w:pStyle w:val="Compact"/>
            </w:pPr>
            <w:r>
              <w:rPr>
                <w:b/>
                <w:bCs/>
              </w:rPr>
              <w:t xml:space="preserve">AU-12(1)</w:t>
            </w:r>
          </w:p>
        </w:tc>
        <w:tc>
          <w:tcPr/>
          <w:p>
            <w:pPr>
              <w:pStyle w:val="Compact"/>
            </w:pPr>
            <w:r>
              <w:t xml:space="preserve">System-wide and Time-correlated Audit Trail</w:t>
            </w:r>
          </w:p>
        </w:tc>
        <w:tc>
          <w:tcPr/>
          <w:p>
            <w:pPr>
              <w:pStyle w:val="Compact"/>
            </w:pPr>
            <w:r>
              <w:t xml:space="preserve">AU</w:t>
            </w:r>
          </w:p>
        </w:tc>
        <w:tc>
          <w:tcPr/>
          <w:p>
            <w:pPr>
              <w:pStyle w:val="Compact"/>
            </w:pPr>
            <w:r>
              <w:t xml:space="preserve">Vol III Bk 07</w:t>
            </w:r>
          </w:p>
        </w:tc>
        <w:tc>
          <w:tcPr/>
          <w:p>
            <w:pPr>
              <w:pStyle w:val="Compact"/>
            </w:pPr>
            <w:r>
              <w:t xml:space="preserve">KSI-MLA</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CA</w:t>
            </w:r>
          </w:p>
        </w:tc>
        <w:tc>
          <w:tcPr/>
          <w:p>
            <w:pPr>
              <w:pStyle w:val="Compact"/>
            </w:pPr>
            <w:r>
              <w:t xml:space="preserve">Vol IV Bk 06, Vol VI Bk 08, Vol VII Bk 04</w:t>
            </w:r>
          </w:p>
        </w:tc>
        <w:tc>
          <w:tcPr/>
          <w:p>
            <w:pPr>
              <w:pStyle w:val="Compact"/>
            </w:pPr>
            <w:r>
              <w:t xml:space="preserve">KSI-MLA</w:t>
            </w:r>
          </w:p>
        </w:tc>
      </w:tr>
      <w:tr>
        <w:tc>
          <w:tcPr/>
          <w:p>
            <w:pPr>
              <w:pStyle w:val="Compact"/>
            </w:pPr>
            <w:r>
              <w:rPr>
                <w:b/>
                <w:bCs/>
              </w:rPr>
              <w:t xml:space="preserve">CA-3</w:t>
            </w:r>
          </w:p>
        </w:tc>
        <w:tc>
          <w:tcPr/>
          <w:p>
            <w:pPr>
              <w:pStyle w:val="Compact"/>
            </w:pPr>
            <w:r>
              <w:t xml:space="preserve">Information Exchange</w:t>
            </w:r>
          </w:p>
        </w:tc>
        <w:tc>
          <w:tcPr/>
          <w:p>
            <w:pPr>
              <w:pStyle w:val="Compact"/>
            </w:pPr>
            <w:r>
              <w:t xml:space="preserve">CA</w:t>
            </w:r>
          </w:p>
        </w:tc>
        <w:tc>
          <w:tcPr/>
          <w:p>
            <w:pPr>
              <w:pStyle w:val="Compact"/>
            </w:pPr>
            <w:r>
              <w:t xml:space="preserve">Vol II Bk 03, Vol IX Bk 05</w:t>
            </w:r>
          </w:p>
        </w:tc>
        <w:tc>
          <w:tcPr/>
          <w:p>
            <w:pPr>
              <w:pStyle w:val="Compact"/>
            </w:pPr>
            <w:r>
              <w:t xml:space="preserve">KSI-PIY</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CA</w:t>
            </w:r>
          </w:p>
        </w:tc>
        <w:tc>
          <w:tcPr/>
          <w:p>
            <w:pPr>
              <w:pStyle w:val="Compact"/>
            </w:pPr>
            <w:r>
              <w:t xml:space="preserve">Vol IV Bk 06, Vol VI Bk 07, Vol VII Bk 04</w:t>
            </w:r>
          </w:p>
        </w:tc>
        <w:tc>
          <w:tcPr/>
          <w:p>
            <w:pPr>
              <w:pStyle w:val="Compact"/>
            </w:pPr>
            <w:r>
              <w:t xml:space="preserve">KSI-MLA</w:t>
            </w:r>
          </w:p>
        </w:tc>
      </w:tr>
      <w:tr>
        <w:tc>
          <w:tcPr/>
          <w:p>
            <w:pPr>
              <w:pStyle w:val="Compact"/>
            </w:pPr>
            <w:r>
              <w:rPr>
                <w:b/>
                <w:bCs/>
              </w:rPr>
              <w:t xml:space="preserve">CA-6</w:t>
            </w:r>
          </w:p>
        </w:tc>
        <w:tc>
          <w:tcPr/>
          <w:p>
            <w:pPr>
              <w:pStyle w:val="Compact"/>
            </w:pPr>
            <w:r>
              <w:t xml:space="preserve">Authorization</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CA</w:t>
            </w:r>
          </w:p>
        </w:tc>
        <w:tc>
          <w:tcPr/>
          <w:p>
            <w:pPr>
              <w:pStyle w:val="Compact"/>
            </w:pPr>
            <w:r>
              <w:t xml:space="preserve">Vol I Bk 05, Vol I Bk 06, Vol II Bk 01, Vol III Bk 07, Vol IV Bk 06, Vol VI Bk 07, Vol VI Bk 08, Vol VII Bk 02, Vol VII Bk 04</w:t>
            </w:r>
          </w:p>
        </w:tc>
        <w:tc>
          <w:tcPr/>
          <w:p>
            <w:pPr>
              <w:pStyle w:val="Compact"/>
            </w:pPr>
            <w:r>
              <w:t xml:space="preserve">KSI-MLA</w:t>
            </w:r>
          </w:p>
        </w:tc>
      </w:tr>
      <w:tr>
        <w:tc>
          <w:tcPr/>
          <w:p>
            <w:pPr>
              <w:pStyle w:val="Compact"/>
            </w:pPr>
            <w:r>
              <w:rPr>
                <w:b/>
                <w:bCs/>
              </w:rPr>
              <w:t xml:space="preserve">CA-7(1)</w:t>
            </w:r>
          </w:p>
        </w:tc>
        <w:tc>
          <w:tcPr/>
          <w:p>
            <w:pPr>
              <w:pStyle w:val="Compact"/>
            </w:pPr>
            <w:r>
              <w:t xml:space="preserve">Continuous Monitoring — Independent Assessment</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CA-7(3)</w:t>
            </w:r>
          </w:p>
        </w:tc>
        <w:tc>
          <w:tcPr/>
          <w:p>
            <w:pPr>
              <w:pStyle w:val="Compact"/>
            </w:pPr>
            <w:r>
              <w:t xml:space="preserve">Continuous Monitoring — Trend Analyses</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CM-2</w:t>
            </w:r>
          </w:p>
        </w:tc>
        <w:tc>
          <w:tcPr/>
          <w:p>
            <w:pPr>
              <w:pStyle w:val="Compact"/>
            </w:pPr>
            <w:r>
              <w:t xml:space="preserve">Baseline Configuration</w:t>
            </w:r>
          </w:p>
        </w:tc>
        <w:tc>
          <w:tcPr/>
          <w:p>
            <w:pPr>
              <w:pStyle w:val="Compact"/>
            </w:pPr>
            <w:r>
              <w:t xml:space="preserve">CM</w:t>
            </w:r>
          </w:p>
        </w:tc>
        <w:tc>
          <w:tcPr/>
          <w:p>
            <w:pPr>
              <w:pStyle w:val="Compact"/>
            </w:pPr>
            <w:r>
              <w:t xml:space="preserve">Vol I Bk 01, Vol II Bk 01, Vol III Bk 03, Vol VI Bk 00, Vol VI Bk 06, Vol IX Bk 02</w:t>
            </w:r>
          </w:p>
        </w:tc>
        <w:tc>
          <w:tcPr/>
          <w:p>
            <w:pPr>
              <w:pStyle w:val="Compact"/>
            </w:pPr>
            <w:r>
              <w:t xml:space="preserve">KSI-CMT</w:t>
            </w:r>
          </w:p>
        </w:tc>
      </w:tr>
      <w:tr>
        <w:tc>
          <w:tcPr/>
          <w:p>
            <w:pPr>
              <w:pStyle w:val="Compact"/>
            </w:pPr>
            <w:r>
              <w:rPr>
                <w:b/>
                <w:bCs/>
              </w:rPr>
              <w:t xml:space="preserve">CM-3</w:t>
            </w:r>
          </w:p>
        </w:tc>
        <w:tc>
          <w:tcPr/>
          <w:p>
            <w:pPr>
              <w:pStyle w:val="Compact"/>
            </w:pPr>
            <w:r>
              <w:t xml:space="preserve">Configuration Change Control</w:t>
            </w:r>
          </w:p>
        </w:tc>
        <w:tc>
          <w:tcPr/>
          <w:p>
            <w:pPr>
              <w:pStyle w:val="Compact"/>
            </w:pPr>
            <w:r>
              <w:t xml:space="preserve">CM</w:t>
            </w:r>
          </w:p>
        </w:tc>
        <w:tc>
          <w:tcPr/>
          <w:p>
            <w:pPr>
              <w:pStyle w:val="Compact"/>
            </w:pPr>
            <w:r>
              <w:t xml:space="preserve">Vol VI Bk 00, Vol VI Bk 06, Vol VII Bk 01, Vol VIII Bk 07, Vol IX Bk 02, Vol IX Bk 04</w:t>
            </w:r>
          </w:p>
        </w:tc>
        <w:tc>
          <w:tcPr/>
          <w:p>
            <w:pPr>
              <w:pStyle w:val="Compact"/>
            </w:pPr>
            <w:r>
              <w:t xml:space="preserve">KSI-CMT</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CM</w:t>
            </w:r>
          </w:p>
        </w:tc>
        <w:tc>
          <w:tcPr/>
          <w:p>
            <w:pPr>
              <w:pStyle w:val="Compact"/>
            </w:pPr>
            <w:r>
              <w:t xml:space="preserve">Vol VIII Bk 07</w:t>
            </w:r>
          </w:p>
        </w:tc>
        <w:tc>
          <w:tcPr/>
          <w:p>
            <w:pPr>
              <w:pStyle w:val="Compact"/>
            </w:pPr>
            <w:r>
              <w:t xml:space="preserve">KSI-IAM</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CM</w:t>
            </w:r>
          </w:p>
        </w:tc>
        <w:tc>
          <w:tcPr/>
          <w:p>
            <w:pPr>
              <w:pStyle w:val="Compact"/>
            </w:pPr>
            <w:r>
              <w:t xml:space="preserve">Vol I Bk 02, Vol III Bk 03, Vol III Bk 04, Vol VI Bk 06, Vol VII Bk 02, Vol VII Bk 03, Vol IX Bk 04</w:t>
            </w:r>
          </w:p>
        </w:tc>
        <w:tc>
          <w:tcPr/>
          <w:p>
            <w:pPr>
              <w:pStyle w:val="Compact"/>
            </w:pPr>
            <w:r>
              <w:t xml:space="preserve">KSI-CMT, KSI-SVC</w:t>
            </w:r>
          </w:p>
        </w:tc>
      </w:tr>
      <w:tr>
        <w:tc>
          <w:tcPr/>
          <w:p>
            <w:pPr>
              <w:pStyle w:val="Compact"/>
            </w:pPr>
            <w:r>
              <w:rPr>
                <w:b/>
                <w:bCs/>
              </w:rPr>
              <w:t xml:space="preserve">CM-7</w:t>
            </w:r>
          </w:p>
        </w:tc>
        <w:tc>
          <w:tcPr/>
          <w:p>
            <w:pPr>
              <w:pStyle w:val="Compact"/>
            </w:pPr>
            <w:r>
              <w:t xml:space="preserve">Least Functionality</w:t>
            </w:r>
          </w:p>
        </w:tc>
        <w:tc>
          <w:tcPr/>
          <w:p>
            <w:pPr>
              <w:pStyle w:val="Compact"/>
            </w:pPr>
            <w:r>
              <w:t xml:space="preserve">CM</w:t>
            </w:r>
          </w:p>
        </w:tc>
        <w:tc>
          <w:tcPr/>
          <w:p>
            <w:pPr>
              <w:pStyle w:val="Compact"/>
            </w:pPr>
            <w:r>
              <w:t xml:space="preserve">Vol I Bk 02, Vol III Bk 02, Vol III Bk 04, Vol VI Bk 06</w:t>
            </w:r>
          </w:p>
        </w:tc>
        <w:tc>
          <w:tcPr/>
          <w:p>
            <w:pPr>
              <w:pStyle w:val="Compact"/>
            </w:pPr>
            <w:r>
              <w:t xml:space="preserve">KSI-SVC</w:t>
            </w:r>
          </w:p>
        </w:tc>
      </w:tr>
      <w:tr>
        <w:tc>
          <w:tcPr/>
          <w:p>
            <w:pPr>
              <w:pStyle w:val="Compact"/>
            </w:pPr>
            <w:r>
              <w:rPr>
                <w:b/>
                <w:bCs/>
              </w:rPr>
              <w:t xml:space="preserve">CM-7(1)</w:t>
            </w:r>
          </w:p>
        </w:tc>
        <w:tc>
          <w:tcPr/>
          <w:p>
            <w:pPr>
              <w:pStyle w:val="Compact"/>
            </w:pPr>
            <w:r>
              <w:t xml:space="preserve">Least Functionality — Periodic Review</w:t>
            </w:r>
          </w:p>
        </w:tc>
        <w:tc>
          <w:tcPr/>
          <w:p>
            <w:pPr>
              <w:pStyle w:val="Compact"/>
            </w:pPr>
            <w:r>
              <w:t xml:space="preserve">CM</w:t>
            </w:r>
          </w:p>
        </w:tc>
        <w:tc>
          <w:tcPr/>
          <w:p>
            <w:pPr>
              <w:pStyle w:val="Compact"/>
            </w:pPr>
            <w:r>
              <w:t xml:space="preserve">Vol III Bk 02</w:t>
            </w:r>
          </w:p>
        </w:tc>
        <w:tc>
          <w:tcPr/>
          <w:p>
            <w:pPr>
              <w:pStyle w:val="Compact"/>
            </w:pPr>
            <w:r>
              <w:t xml:space="preserve">—</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CM</w:t>
            </w:r>
          </w:p>
        </w:tc>
        <w:tc>
          <w:tcPr/>
          <w:p>
            <w:pPr>
              <w:pStyle w:val="Compact"/>
            </w:pPr>
            <w:r>
              <w:t xml:space="preserve">Vol I Bk 01, Vol I Bk 02, Vol II Bk 01, Vol III Bk 03, Vol VI Bk 01, Vol VII Bk 01, Vol VIII Bk 06, Vol IX Bk 02</w:t>
            </w:r>
          </w:p>
        </w:tc>
        <w:tc>
          <w:tcPr/>
          <w:p>
            <w:pPr>
              <w:pStyle w:val="Compact"/>
            </w:pPr>
            <w:r>
              <w:t xml:space="preserve">KSI-CMT, KSI-PIY</w:t>
            </w:r>
          </w:p>
        </w:tc>
      </w:tr>
      <w:tr>
        <w:tc>
          <w:tcPr/>
          <w:p>
            <w:pPr>
              <w:pStyle w:val="Compact"/>
            </w:pPr>
            <w:r>
              <w:rPr>
                <w:b/>
                <w:bCs/>
              </w:rPr>
              <w:t xml:space="preserve">CP-2</w:t>
            </w:r>
          </w:p>
        </w:tc>
        <w:tc>
          <w:tcPr/>
          <w:p>
            <w:pPr>
              <w:pStyle w:val="Compact"/>
            </w:pPr>
            <w:r>
              <w:t xml:space="preserve">Contingency Plan</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CP-2(1)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CP-2(8)</w:t>
            </w:r>
          </w:p>
        </w:tc>
        <w:tc>
          <w:tcPr/>
          <w:p>
            <w:pPr>
              <w:pStyle w:val="Compact"/>
            </w:pPr>
            <w:r>
              <w:t xml:space="preserve">Identify Critical Assets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CP-3</w:t>
            </w:r>
          </w:p>
        </w:tc>
        <w:tc>
          <w:tcPr/>
          <w:p>
            <w:pPr>
              <w:pStyle w:val="Compact"/>
            </w:pPr>
            <w:r>
              <w:t xml:space="preserve">Contingency Training</w:t>
            </w:r>
          </w:p>
        </w:tc>
        <w:tc>
          <w:tcPr/>
          <w:p>
            <w:pPr>
              <w:pStyle w:val="Compact"/>
            </w:pPr>
            <w:r>
              <w:t xml:space="preserve">CP</w:t>
            </w:r>
          </w:p>
        </w:tc>
        <w:tc>
          <w:tcPr/>
          <w:p>
            <w:pPr>
              <w:pStyle w:val="Compact"/>
            </w:pPr>
            <w:r>
              <w:t xml:space="preserve">Vol IV Bk 01, Vol IV Bk 05</w:t>
            </w:r>
          </w:p>
        </w:tc>
        <w:tc>
          <w:tcPr/>
          <w:p>
            <w:pPr>
              <w:pStyle w:val="Compact"/>
            </w:pPr>
            <w:r>
              <w:t xml:space="preserve">KSI-022</w:t>
            </w:r>
          </w:p>
        </w:tc>
      </w:tr>
      <w:tr>
        <w:tc>
          <w:tcPr/>
          <w:p>
            <w:pPr>
              <w:pStyle w:val="Compact"/>
            </w:pPr>
            <w:r>
              <w:rPr>
                <w:b/>
                <w:bCs/>
              </w:rPr>
              <w:t xml:space="preserve">CP-4</w:t>
            </w:r>
          </w:p>
        </w:tc>
        <w:tc>
          <w:tcPr/>
          <w:p>
            <w:pPr>
              <w:pStyle w:val="Compact"/>
            </w:pPr>
            <w:r>
              <w:t xml:space="preserve">Contingency Plan Testing</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CP-4(1)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CP-6</w:t>
            </w:r>
          </w:p>
        </w:tc>
        <w:tc>
          <w:tcPr/>
          <w:p>
            <w:pPr>
              <w:pStyle w:val="Compact"/>
            </w:pPr>
            <w:r>
              <w:t xml:space="preserve">Alternate Storage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CP-6(1)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w:t>
            </w:r>
          </w:p>
        </w:tc>
        <w:tc>
          <w:tcPr/>
          <w:p>
            <w:pPr>
              <w:pStyle w:val="Compact"/>
            </w:pPr>
            <w:r>
              <w:t xml:space="preserve">Alternate Processing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CP-7(3)</w:t>
            </w:r>
          </w:p>
        </w:tc>
        <w:tc>
          <w:tcPr/>
          <w:p>
            <w:pPr>
              <w:pStyle w:val="Compact"/>
            </w:pPr>
            <w:r>
              <w:t xml:space="preserve">Priority of Service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CP-8</w:t>
            </w:r>
          </w:p>
        </w:tc>
        <w:tc>
          <w:tcPr/>
          <w:p>
            <w:pPr>
              <w:pStyle w:val="Compact"/>
            </w:pPr>
            <w:r>
              <w:t xml:space="preserve">Telecommunications Services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CP-8(1)</w:t>
            </w:r>
          </w:p>
        </w:tc>
        <w:tc>
          <w:tcPr/>
          <w:p>
            <w:pPr>
              <w:pStyle w:val="Compact"/>
            </w:pPr>
            <w:r>
              <w:t xml:space="preserve">Priority of Service Provisions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CP-9</w:t>
            </w:r>
          </w:p>
        </w:tc>
        <w:tc>
          <w:tcPr/>
          <w:p>
            <w:pPr>
              <w:pStyle w:val="Compact"/>
            </w:pPr>
            <w:r>
              <w:t xml:space="preserve">System Backup</w:t>
            </w:r>
          </w:p>
        </w:tc>
        <w:tc>
          <w:tcPr/>
          <w:p>
            <w:pPr>
              <w:pStyle w:val="Compact"/>
            </w:pPr>
            <w:r>
              <w:t xml:space="preserve">CP</w:t>
            </w:r>
          </w:p>
        </w:tc>
        <w:tc>
          <w:tcPr/>
          <w:p>
            <w:pPr>
              <w:pStyle w:val="Compact"/>
            </w:pPr>
            <w:r>
              <w:t xml:space="preserve">Vol II Bk 03, Vol IV Bk 01</w:t>
            </w:r>
          </w:p>
        </w:tc>
        <w:tc>
          <w:tcPr/>
          <w:p>
            <w:pPr>
              <w:pStyle w:val="Compact"/>
            </w:pPr>
            <w:r>
              <w:t xml:space="preserve">—</w:t>
            </w:r>
          </w:p>
        </w:tc>
      </w:tr>
      <w:tr>
        <w:tc>
          <w:tcPr/>
          <w:p>
            <w:pPr>
              <w:pStyle w:val="Compact"/>
            </w:pPr>
            <w:r>
              <w:rPr>
                <w:b/>
                <w:bCs/>
              </w:rPr>
              <w:t xml:space="preserve">CP-10</w:t>
            </w:r>
          </w:p>
        </w:tc>
        <w:tc>
          <w:tcPr/>
          <w:p>
            <w:pPr>
              <w:pStyle w:val="Compact"/>
            </w:pPr>
            <w:r>
              <w:t xml:space="preserve">System Recovery and Reconstitution</w:t>
            </w:r>
          </w:p>
        </w:tc>
        <w:tc>
          <w:tcPr/>
          <w:p>
            <w:pPr>
              <w:pStyle w:val="Compact"/>
            </w:pPr>
            <w:r>
              <w:t xml:space="preserve">CP</w:t>
            </w:r>
          </w:p>
        </w:tc>
        <w:tc>
          <w:tcPr/>
          <w:p>
            <w:pPr>
              <w:pStyle w:val="Compact"/>
            </w:pPr>
            <w:r>
              <w:t xml:space="preserve">Vol II Bk 03, Vol IV Bk 01</w:t>
            </w:r>
          </w:p>
        </w:tc>
        <w:tc>
          <w:tcPr/>
          <w:p>
            <w:pPr>
              <w:pStyle w:val="Compact"/>
            </w:pPr>
            <w:r>
              <w:t xml:space="preserve">—</w:t>
            </w:r>
          </w:p>
        </w:tc>
      </w:tr>
      <w:tr>
        <w:tc>
          <w:tcPr/>
          <w:p>
            <w:pPr>
              <w:pStyle w:val="Compact"/>
            </w:pPr>
            <w:r>
              <w:rPr>
                <w:b/>
                <w:bCs/>
              </w:rPr>
              <w:t xml:space="preserve">IA-2</w:t>
            </w:r>
          </w:p>
        </w:tc>
        <w:tc>
          <w:tcPr/>
          <w:p>
            <w:pPr>
              <w:pStyle w:val="Compact"/>
            </w:pPr>
            <w:r>
              <w:t xml:space="preserve">Identification and Authentication (Organizational Users)</w:t>
            </w:r>
          </w:p>
        </w:tc>
        <w:tc>
          <w:tcPr/>
          <w:p>
            <w:pPr>
              <w:pStyle w:val="Compact"/>
            </w:pPr>
            <w:r>
              <w:t xml:space="preserve">IA</w:t>
            </w:r>
          </w:p>
        </w:tc>
        <w:tc>
          <w:tcPr/>
          <w:p>
            <w:pPr>
              <w:pStyle w:val="Compact"/>
            </w:pPr>
            <w:r>
              <w:t xml:space="preserve">Vol II Bk 01, Vol II Bk 02, Vol VI Bk 02, Vol VI Bk 03</w:t>
            </w:r>
          </w:p>
        </w:tc>
        <w:tc>
          <w:tcPr/>
          <w:p>
            <w:pPr>
              <w:pStyle w:val="Compact"/>
            </w:pPr>
            <w:r>
              <w:t xml:space="preserve">—</w:t>
            </w:r>
          </w:p>
        </w:tc>
      </w:tr>
      <w:tr>
        <w:tc>
          <w:tcPr/>
          <w:p>
            <w:pPr>
              <w:pStyle w:val="Compact"/>
            </w:pPr>
            <w:r>
              <w:rPr>
                <w:b/>
                <w:bCs/>
              </w:rPr>
              <w:t xml:space="preserve">IA-2(1)</w:t>
            </w:r>
          </w:p>
        </w:tc>
        <w:tc>
          <w:tcPr/>
          <w:p>
            <w:pPr>
              <w:pStyle w:val="Compact"/>
            </w:pPr>
            <w:r>
              <w:t xml:space="preserve">Identification and Authentication (Organizational Users) — Multi-Factor Authentication to Privileged Accounts</w:t>
            </w:r>
          </w:p>
        </w:tc>
        <w:tc>
          <w:tcPr/>
          <w:p>
            <w:pPr>
              <w:pStyle w:val="Compact"/>
            </w:pPr>
            <w:r>
              <w:t xml:space="preserve">IA</w:t>
            </w:r>
          </w:p>
        </w:tc>
        <w:tc>
          <w:tcPr/>
          <w:p>
            <w:pPr>
              <w:pStyle w:val="Compact"/>
            </w:pPr>
            <w:r>
              <w:t xml:space="preserve">Vol I Bk 03</w:t>
            </w:r>
          </w:p>
        </w:tc>
        <w:tc>
          <w:tcPr/>
          <w:p>
            <w:pPr>
              <w:pStyle w:val="Compact"/>
            </w:pPr>
            <w:r>
              <w:t xml:space="preserve">—</w:t>
            </w:r>
          </w:p>
        </w:tc>
      </w:tr>
      <w:tr>
        <w:tc>
          <w:tcPr/>
          <w:p>
            <w:pPr>
              <w:pStyle w:val="Compact"/>
            </w:pPr>
            <w:r>
              <w:rPr>
                <w:b/>
                <w:bCs/>
              </w:rPr>
              <w:t xml:space="preserve">IA-2(2)</w:t>
            </w:r>
          </w:p>
        </w:tc>
        <w:tc>
          <w:tcPr/>
          <w:p>
            <w:pPr>
              <w:pStyle w:val="Compact"/>
            </w:pPr>
            <w:r>
              <w:t xml:space="preserve">Identification and Authentication (Organizational Users) — Multi-Factor Authentication to Non-Privileged Accounts</w:t>
            </w:r>
          </w:p>
        </w:tc>
        <w:tc>
          <w:tcPr/>
          <w:p>
            <w:pPr>
              <w:pStyle w:val="Compact"/>
            </w:pPr>
            <w:r>
              <w:t xml:space="preserve">IA</w:t>
            </w:r>
          </w:p>
        </w:tc>
        <w:tc>
          <w:tcPr/>
          <w:p>
            <w:pPr>
              <w:pStyle w:val="Compact"/>
            </w:pPr>
            <w:r>
              <w:t xml:space="preserve">Vol I Bk 03</w:t>
            </w:r>
          </w:p>
        </w:tc>
        <w:tc>
          <w:tcPr/>
          <w:p>
            <w:pPr>
              <w:pStyle w:val="Compact"/>
            </w:pPr>
            <w:r>
              <w:t xml:space="preserve">—</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IA</w:t>
            </w:r>
          </w:p>
        </w:tc>
        <w:tc>
          <w:tcPr/>
          <w:p>
            <w:pPr>
              <w:pStyle w:val="Compact"/>
            </w:pPr>
            <w:r>
              <w:t xml:space="preserve">Vol I Bk 02, Vol I Bk 07, Vol II Bk 01, Vol VI Bk 02</w:t>
            </w:r>
          </w:p>
        </w:tc>
        <w:tc>
          <w:tcPr/>
          <w:p>
            <w:pPr>
              <w:pStyle w:val="Compact"/>
            </w:pPr>
            <w:r>
              <w:t xml:space="preserve">KSI-IAM</w:t>
            </w:r>
          </w:p>
        </w:tc>
      </w:tr>
      <w:tr>
        <w:tc>
          <w:tcPr/>
          <w:p>
            <w:pPr>
              <w:pStyle w:val="Compact"/>
            </w:pPr>
            <w:r>
              <w:rPr>
                <w:b/>
                <w:bCs/>
              </w:rPr>
              <w:t xml:space="preserve">IA-3(1)</w:t>
            </w:r>
          </w:p>
        </w:tc>
        <w:tc>
          <w:tcPr/>
          <w:p>
            <w:pPr>
              <w:pStyle w:val="Compact"/>
            </w:pPr>
            <w:r>
              <w:t xml:space="preserve">Device Identification and Authentication — Cryptographic Bidirectional Authentication</w:t>
            </w:r>
          </w:p>
        </w:tc>
        <w:tc>
          <w:tcPr/>
          <w:p>
            <w:pPr>
              <w:pStyle w:val="Compact"/>
            </w:pPr>
            <w:r>
              <w:t xml:space="preserve">IA</w:t>
            </w:r>
          </w:p>
        </w:tc>
        <w:tc>
          <w:tcPr/>
          <w:p>
            <w:pPr>
              <w:pStyle w:val="Compact"/>
            </w:pPr>
            <w:r>
              <w:t xml:space="preserve">Vol I Bk 02</w:t>
            </w:r>
          </w:p>
        </w:tc>
        <w:tc>
          <w:tcPr/>
          <w:p>
            <w:pPr>
              <w:pStyle w:val="Compact"/>
            </w:pPr>
            <w:r>
              <w:t xml:space="preserve">—</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IA</w:t>
            </w:r>
          </w:p>
        </w:tc>
        <w:tc>
          <w:tcPr/>
          <w:p>
            <w:pPr>
              <w:pStyle w:val="Compact"/>
            </w:pPr>
            <w:r>
              <w:t xml:space="preserve">Vol I Bk 04</w:t>
            </w:r>
          </w:p>
        </w:tc>
        <w:tc>
          <w:tcPr/>
          <w:p>
            <w:pPr>
              <w:pStyle w:val="Compact"/>
            </w:pPr>
            <w:r>
              <w:t xml:space="preserve">—</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IA</w:t>
            </w:r>
          </w:p>
        </w:tc>
        <w:tc>
          <w:tcPr/>
          <w:p>
            <w:pPr>
              <w:pStyle w:val="Compact"/>
            </w:pPr>
            <w:r>
              <w:t xml:space="preserve">Vol II Bk 01, Vol VI Bk 02, Vol IX Bk 01</w:t>
            </w:r>
          </w:p>
        </w:tc>
        <w:tc>
          <w:tcPr/>
          <w:p>
            <w:pPr>
              <w:pStyle w:val="Compact"/>
            </w:pPr>
            <w:r>
              <w:t xml:space="preserve">KSI-IAM</w:t>
            </w:r>
          </w:p>
        </w:tc>
      </w:tr>
      <w:tr>
        <w:tc>
          <w:tcPr/>
          <w:p>
            <w:pPr>
              <w:pStyle w:val="Compact"/>
            </w:pPr>
            <w:r>
              <w:rPr>
                <w:b/>
                <w:bCs/>
              </w:rPr>
              <w:t xml:space="preserve">IA-5(1)</w:t>
            </w:r>
          </w:p>
        </w:tc>
        <w:tc>
          <w:tcPr/>
          <w:p>
            <w:pPr>
              <w:pStyle w:val="Compact"/>
            </w:pPr>
            <w:r>
              <w:t xml:space="preserve">Authenticator Management — Password-Based Authentication</w:t>
            </w:r>
          </w:p>
        </w:tc>
        <w:tc>
          <w:tcPr/>
          <w:p>
            <w:pPr>
              <w:pStyle w:val="Compact"/>
            </w:pPr>
            <w:r>
              <w:t xml:space="preserve">IA</w:t>
            </w:r>
          </w:p>
        </w:tc>
        <w:tc>
          <w:tcPr/>
          <w:p>
            <w:pPr>
              <w:pStyle w:val="Compact"/>
            </w:pPr>
            <w:r>
              <w:t xml:space="preserve">Vol II Bk 01</w:t>
            </w:r>
          </w:p>
        </w:tc>
        <w:tc>
          <w:tcPr/>
          <w:p>
            <w:pPr>
              <w:pStyle w:val="Compact"/>
            </w:pPr>
            <w:r>
              <w:t xml:space="preserve">—</w:t>
            </w:r>
          </w:p>
        </w:tc>
      </w:tr>
      <w:tr>
        <w:tc>
          <w:tcPr/>
          <w:p>
            <w:pPr>
              <w:pStyle w:val="Compact"/>
            </w:pPr>
            <w:r>
              <w:rPr>
                <w:b/>
                <w:bCs/>
              </w:rPr>
              <w:t xml:space="preserve">IA-5(2)</w:t>
            </w:r>
          </w:p>
        </w:tc>
        <w:tc>
          <w:tcPr/>
          <w:p>
            <w:pPr>
              <w:pStyle w:val="Compact"/>
            </w:pPr>
            <w:r>
              <w:t xml:space="preserve">Authenticator Management — Public Key-Based Authentication</w:t>
            </w:r>
          </w:p>
        </w:tc>
        <w:tc>
          <w:tcPr/>
          <w:p>
            <w:pPr>
              <w:pStyle w:val="Compact"/>
            </w:pPr>
            <w:r>
              <w:t xml:space="preserve">IA</w:t>
            </w:r>
          </w:p>
        </w:tc>
        <w:tc>
          <w:tcPr/>
          <w:p>
            <w:pPr>
              <w:pStyle w:val="Compact"/>
            </w:pPr>
            <w:r>
              <w:t xml:space="preserve">Vol I Bk 01, Vol I Bk 03, Vol IX Bk 03</w:t>
            </w:r>
          </w:p>
        </w:tc>
        <w:tc>
          <w:tcPr/>
          <w:p>
            <w:pPr>
              <w:pStyle w:val="Compact"/>
            </w:pPr>
            <w:r>
              <w:t xml:space="preserve">KSI-IAM</w:t>
            </w:r>
          </w:p>
        </w:tc>
      </w:tr>
      <w:tr>
        <w:tc>
          <w:tcPr/>
          <w:p>
            <w:pPr>
              <w:pStyle w:val="Compact"/>
            </w:pPr>
            <w:r>
              <w:rPr>
                <w:b/>
                <w:bCs/>
              </w:rPr>
              <w:t xml:space="preserve">IA-9</w:t>
            </w:r>
          </w:p>
        </w:tc>
        <w:tc>
          <w:tcPr/>
          <w:p>
            <w:pPr>
              <w:pStyle w:val="Compact"/>
            </w:pPr>
            <w:r>
              <w:t xml:space="preserve">Service Identification and Authentication</w:t>
            </w:r>
          </w:p>
        </w:tc>
        <w:tc>
          <w:tcPr/>
          <w:p>
            <w:pPr>
              <w:pStyle w:val="Compact"/>
            </w:pPr>
            <w:r>
              <w:t xml:space="preserve">IA</w:t>
            </w:r>
          </w:p>
        </w:tc>
        <w:tc>
          <w:tcPr/>
          <w:p>
            <w:pPr>
              <w:pStyle w:val="Compact"/>
            </w:pPr>
            <w:r>
              <w:t xml:space="preserve">Vol I Bk 01</w:t>
            </w:r>
          </w:p>
        </w:tc>
        <w:tc>
          <w:tcPr/>
          <w:p>
            <w:pPr>
              <w:pStyle w:val="Compact"/>
            </w:pPr>
            <w:r>
              <w:t xml:space="preserve">—</w:t>
            </w:r>
          </w:p>
        </w:tc>
      </w:tr>
      <w:tr>
        <w:tc>
          <w:tcPr/>
          <w:p>
            <w:pPr>
              <w:pStyle w:val="Compact"/>
            </w:pPr>
            <w:r>
              <w:rPr>
                <w:b/>
                <w:bCs/>
              </w:rPr>
              <w:t xml:space="preserve">IA-11</w:t>
            </w:r>
          </w:p>
        </w:tc>
        <w:tc>
          <w:tcPr/>
          <w:p>
            <w:pPr>
              <w:pStyle w:val="Compact"/>
            </w:pPr>
            <w:r>
              <w:t xml:space="preserve">Re-Authentication</w:t>
            </w:r>
          </w:p>
        </w:tc>
        <w:tc>
          <w:tcPr/>
          <w:p>
            <w:pPr>
              <w:pStyle w:val="Compact"/>
            </w:pPr>
            <w:r>
              <w:t xml:space="preserve">IA</w:t>
            </w:r>
          </w:p>
        </w:tc>
        <w:tc>
          <w:tcPr/>
          <w:p>
            <w:pPr>
              <w:pStyle w:val="Compact"/>
            </w:pPr>
            <w:r>
              <w:t xml:space="preserve">Vol III Bk 01, Vol VI Bk 02</w:t>
            </w:r>
          </w:p>
        </w:tc>
        <w:tc>
          <w:tcPr/>
          <w:p>
            <w:pPr>
              <w:pStyle w:val="Compact"/>
            </w:pPr>
            <w:r>
              <w:t xml:space="preserve">—</w:t>
            </w:r>
          </w:p>
        </w:tc>
      </w:tr>
      <w:tr>
        <w:tc>
          <w:tcPr/>
          <w:p>
            <w:pPr>
              <w:pStyle w:val="Compact"/>
            </w:pPr>
            <w:r>
              <w:rPr>
                <w:b/>
                <w:bCs/>
              </w:rPr>
              <w:t xml:space="preserve">IR-2</w:t>
            </w:r>
          </w:p>
        </w:tc>
        <w:tc>
          <w:tcPr/>
          <w:p>
            <w:pPr>
              <w:pStyle w:val="Compact"/>
            </w:pPr>
            <w:r>
              <w:t xml:space="preserve">Incident Response Training</w:t>
            </w:r>
          </w:p>
        </w:tc>
        <w:tc>
          <w:tcPr/>
          <w:p>
            <w:pPr>
              <w:pStyle w:val="Compact"/>
            </w:pPr>
            <w:r>
              <w:t xml:space="preserve">IR</w:t>
            </w:r>
          </w:p>
        </w:tc>
        <w:tc>
          <w:tcPr/>
          <w:p>
            <w:pPr>
              <w:pStyle w:val="Compact"/>
            </w:pPr>
            <w:r>
              <w:t xml:space="preserve">Vol IV Bk 05</w:t>
            </w:r>
          </w:p>
        </w:tc>
        <w:tc>
          <w:tcPr/>
          <w:p>
            <w:pPr>
              <w:pStyle w:val="Compact"/>
            </w:pPr>
            <w:r>
              <w:t xml:space="preserve">KSI-022</w:t>
            </w:r>
          </w:p>
        </w:tc>
      </w:tr>
      <w:tr>
        <w:tc>
          <w:tcPr/>
          <w:p>
            <w:pPr>
              <w:pStyle w:val="Compact"/>
            </w:pPr>
            <w:r>
              <w:rPr>
                <w:b/>
                <w:bCs/>
              </w:rPr>
              <w:t xml:space="preserve">IR-4</w:t>
            </w:r>
          </w:p>
        </w:tc>
        <w:tc>
          <w:tcPr/>
          <w:p>
            <w:pPr>
              <w:pStyle w:val="Compact"/>
            </w:pPr>
            <w:r>
              <w:t xml:space="preserve">Incident Handling</w:t>
            </w:r>
          </w:p>
        </w:tc>
        <w:tc>
          <w:tcPr/>
          <w:p>
            <w:pPr>
              <w:pStyle w:val="Compact"/>
            </w:pPr>
            <w:r>
              <w:t xml:space="preserve">IR</w:t>
            </w:r>
          </w:p>
        </w:tc>
        <w:tc>
          <w:tcPr/>
          <w:p>
            <w:pPr>
              <w:pStyle w:val="Compact"/>
            </w:pPr>
            <w:r>
              <w:t xml:space="preserve">Vol I Bk 01, Vol III Bk 06, Vol VI Bk 04</w:t>
            </w:r>
          </w:p>
        </w:tc>
        <w:tc>
          <w:tcPr/>
          <w:p>
            <w:pPr>
              <w:pStyle w:val="Compact"/>
            </w:pPr>
            <w:r>
              <w:t xml:space="preserve">—</w:t>
            </w:r>
          </w:p>
        </w:tc>
      </w:tr>
      <w:tr>
        <w:tc>
          <w:tcPr/>
          <w:p>
            <w:pPr>
              <w:pStyle w:val="Compact"/>
            </w:pPr>
            <w:r>
              <w:rPr>
                <w:b/>
                <w:bCs/>
              </w:rPr>
              <w:t xml:space="preserve">IR-6</w:t>
            </w:r>
          </w:p>
        </w:tc>
        <w:tc>
          <w:tcPr/>
          <w:p>
            <w:pPr>
              <w:pStyle w:val="Compact"/>
            </w:pPr>
            <w:r>
              <w:t xml:space="preserve">Incident Reporting</w:t>
            </w:r>
          </w:p>
        </w:tc>
        <w:tc>
          <w:tcPr/>
          <w:p>
            <w:pPr>
              <w:pStyle w:val="Compact"/>
            </w:pPr>
            <w:r>
              <w:t xml:space="preserve">IR</w:t>
            </w:r>
          </w:p>
        </w:tc>
        <w:tc>
          <w:tcPr/>
          <w:p>
            <w:pPr>
              <w:pStyle w:val="Compact"/>
            </w:pPr>
            <w:r>
              <w:t xml:space="preserve">Vol III Bk 06, Vol VI Bk 04</w:t>
            </w:r>
          </w:p>
        </w:tc>
        <w:tc>
          <w:tcPr/>
          <w:p>
            <w:pPr>
              <w:pStyle w:val="Compact"/>
            </w:pPr>
            <w:r>
              <w:t xml:space="preserve">—</w:t>
            </w:r>
          </w:p>
        </w:tc>
      </w:tr>
      <w:tr>
        <w:tc>
          <w:tcPr/>
          <w:p>
            <w:pPr>
              <w:pStyle w:val="Compact"/>
            </w:pPr>
            <w:r>
              <w:rPr>
                <w:b/>
                <w:bCs/>
              </w:rPr>
              <w:t xml:space="preserve">IR-8</w:t>
            </w:r>
          </w:p>
        </w:tc>
        <w:tc>
          <w:tcPr/>
          <w:p>
            <w:pPr>
              <w:pStyle w:val="Compact"/>
            </w:pPr>
            <w:r>
              <w:t xml:space="preserve">Incident Response Plan</w:t>
            </w:r>
          </w:p>
        </w:tc>
        <w:tc>
          <w:tcPr/>
          <w:p>
            <w:pPr>
              <w:pStyle w:val="Compact"/>
            </w:pPr>
            <w:r>
              <w:t xml:space="preserve">IR</w:t>
            </w:r>
          </w:p>
        </w:tc>
        <w:tc>
          <w:tcPr/>
          <w:p>
            <w:pPr>
              <w:pStyle w:val="Compact"/>
            </w:pPr>
            <w:r>
              <w:t xml:space="preserve">Vol III Bk 06</w:t>
            </w:r>
          </w:p>
        </w:tc>
        <w:tc>
          <w:tcPr/>
          <w:p>
            <w:pPr>
              <w:pStyle w:val="Compact"/>
            </w:pPr>
            <w:r>
              <w:t xml:space="preserve">—</w:t>
            </w:r>
          </w:p>
        </w:tc>
      </w:tr>
      <w:tr>
        <w:tc>
          <w:tcPr/>
          <w:p>
            <w:pPr>
              <w:pStyle w:val="Compact"/>
            </w:pPr>
            <w:r>
              <w:rPr>
                <w:b/>
                <w:bCs/>
              </w:rPr>
              <w:t xml:space="preserve">MP-2</w:t>
            </w:r>
          </w:p>
        </w:tc>
        <w:tc>
          <w:tcPr/>
          <w:p>
            <w:pPr>
              <w:pStyle w:val="Compact"/>
            </w:pPr>
            <w:r>
              <w:t xml:space="preserve">Media Access</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MP-3</w:t>
            </w:r>
          </w:p>
        </w:tc>
        <w:tc>
          <w:tcPr/>
          <w:p>
            <w:pPr>
              <w:pStyle w:val="Compact"/>
            </w:pPr>
            <w:r>
              <w:t xml:space="preserve">Media Marking</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MP-4</w:t>
            </w:r>
          </w:p>
        </w:tc>
        <w:tc>
          <w:tcPr/>
          <w:p>
            <w:pPr>
              <w:pStyle w:val="Compact"/>
            </w:pPr>
            <w:r>
              <w:t xml:space="preserve">Media Storage</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MP-5</w:t>
            </w:r>
          </w:p>
        </w:tc>
        <w:tc>
          <w:tcPr/>
          <w:p>
            <w:pPr>
              <w:pStyle w:val="Compact"/>
            </w:pPr>
            <w:r>
              <w:t xml:space="preserve">Media Transport</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PL-8</w:t>
            </w:r>
          </w:p>
        </w:tc>
        <w:tc>
          <w:tcPr/>
          <w:p>
            <w:pPr>
              <w:pStyle w:val="Compact"/>
            </w:pPr>
            <w:r>
              <w:t xml:space="preserve">Security and Privacy Architectures</w:t>
            </w:r>
          </w:p>
        </w:tc>
        <w:tc>
          <w:tcPr/>
          <w:p>
            <w:pPr>
              <w:pStyle w:val="Compact"/>
            </w:pPr>
            <w:r>
              <w:t xml:space="preserve">PL</w:t>
            </w:r>
          </w:p>
        </w:tc>
        <w:tc>
          <w:tcPr/>
          <w:p>
            <w:pPr>
              <w:pStyle w:val="Compact"/>
            </w:pPr>
            <w:r>
              <w:t xml:space="preserve">Vol I Bk 01</w:t>
            </w:r>
          </w:p>
        </w:tc>
        <w:tc>
          <w:tcPr/>
          <w:p>
            <w:pPr>
              <w:pStyle w:val="Compact"/>
            </w:pPr>
            <w:r>
              <w:t xml:space="preserve">—</w:t>
            </w:r>
          </w:p>
        </w:tc>
      </w:tr>
      <w:tr>
        <w:tc>
          <w:tcPr/>
          <w:p>
            <w:pPr>
              <w:pStyle w:val="Compact"/>
            </w:pPr>
            <w:r>
              <w:rPr>
                <w:b/>
                <w:bCs/>
              </w:rPr>
              <w:t xml:space="preserve">PM-1</w:t>
            </w:r>
          </w:p>
        </w:tc>
        <w:tc>
          <w:tcPr/>
          <w:p>
            <w:pPr>
              <w:pStyle w:val="Compact"/>
            </w:pPr>
            <w:r>
              <w:t xml:space="preserve">Information Security Program Plan</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PM-2</w:t>
            </w:r>
          </w:p>
        </w:tc>
        <w:tc>
          <w:tcPr/>
          <w:p>
            <w:pPr>
              <w:pStyle w:val="Compact"/>
            </w:pPr>
            <w:r>
              <w:t xml:space="preserve">Information Security Program Leadership Role</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PM-5</w:t>
            </w:r>
          </w:p>
        </w:tc>
        <w:tc>
          <w:tcPr/>
          <w:p>
            <w:pPr>
              <w:pStyle w:val="Compact"/>
            </w:pPr>
            <w:r>
              <w:t xml:space="preserve">System Inventory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PM-7</w:t>
            </w:r>
          </w:p>
        </w:tc>
        <w:tc>
          <w:tcPr/>
          <w:p>
            <w:pPr>
              <w:pStyle w:val="Compact"/>
            </w:pPr>
            <w:r>
              <w:t xml:space="preserve">Enterprise Architecture</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PM-9</w:t>
            </w:r>
          </w:p>
        </w:tc>
        <w:tc>
          <w:tcPr/>
          <w:p>
            <w:pPr>
              <w:pStyle w:val="Compact"/>
            </w:pPr>
            <w:r>
              <w:t xml:space="preserve">Risk Management Strategy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PM-11</w:t>
            </w:r>
          </w:p>
        </w:tc>
        <w:tc>
          <w:tcPr/>
          <w:p>
            <w:pPr>
              <w:pStyle w:val="Compact"/>
            </w:pPr>
            <w:r>
              <w:t xml:space="preserve">Mission and Business Process Definition</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PM-14</w:t>
            </w:r>
          </w:p>
        </w:tc>
        <w:tc>
          <w:tcPr/>
          <w:p>
            <w:pPr>
              <w:pStyle w:val="Compact"/>
            </w:pPr>
            <w:r>
              <w:t xml:space="preserve">Testing, Training, and Monitoring</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PM-15</w:t>
            </w:r>
          </w:p>
        </w:tc>
        <w:tc>
          <w:tcPr/>
          <w:p>
            <w:pPr>
              <w:pStyle w:val="Compact"/>
            </w:pPr>
            <w:r>
              <w:t xml:space="preserve">Security and Privacy Groups and Associations</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PM-30</w:t>
            </w:r>
          </w:p>
        </w:tc>
        <w:tc>
          <w:tcPr/>
          <w:p>
            <w:pPr>
              <w:pStyle w:val="Compact"/>
            </w:pPr>
            <w:r>
              <w:t xml:space="preserve">Supply Chain Risk Management Strategy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PS-4</w:t>
            </w:r>
          </w:p>
        </w:tc>
        <w:tc>
          <w:tcPr/>
          <w:p>
            <w:pPr>
              <w:pStyle w:val="Compact"/>
            </w:pPr>
            <w:r>
              <w:t xml:space="preserve">Personnel Termination</w:t>
            </w:r>
          </w:p>
        </w:tc>
        <w:tc>
          <w:tcPr/>
          <w:p>
            <w:pPr>
              <w:pStyle w:val="Compact"/>
            </w:pPr>
            <w:r>
              <w:t xml:space="preserve">PS</w:t>
            </w:r>
          </w:p>
        </w:tc>
        <w:tc>
          <w:tcPr/>
          <w:p>
            <w:pPr>
              <w:pStyle w:val="Compact"/>
            </w:pPr>
            <w:r>
              <w:t xml:space="preserve">Vol I Bk 04</w:t>
            </w:r>
          </w:p>
        </w:tc>
        <w:tc>
          <w:tcPr/>
          <w:p>
            <w:pPr>
              <w:pStyle w:val="Compact"/>
            </w:pPr>
            <w:r>
              <w:t xml:space="preserve">—</w:t>
            </w:r>
          </w:p>
        </w:tc>
      </w:tr>
      <w:tr>
        <w:tc>
          <w:tcPr/>
          <w:p>
            <w:pPr>
              <w:pStyle w:val="Compact"/>
            </w:pPr>
            <w:r>
              <w:rPr>
                <w:b/>
                <w:bCs/>
              </w:rPr>
              <w:t xml:space="preserve">PS-5</w:t>
            </w:r>
          </w:p>
        </w:tc>
        <w:tc>
          <w:tcPr/>
          <w:p>
            <w:pPr>
              <w:pStyle w:val="Compact"/>
            </w:pPr>
            <w:r>
              <w:t xml:space="preserve">Personnel Transfer</w:t>
            </w:r>
          </w:p>
        </w:tc>
        <w:tc>
          <w:tcPr/>
          <w:p>
            <w:pPr>
              <w:pStyle w:val="Compact"/>
            </w:pPr>
            <w:r>
              <w:t xml:space="preserve">PS</w:t>
            </w:r>
          </w:p>
        </w:tc>
        <w:tc>
          <w:tcPr/>
          <w:p>
            <w:pPr>
              <w:pStyle w:val="Compact"/>
            </w:pPr>
            <w:r>
              <w:t xml:space="preserve">Vol I Bk 04</w:t>
            </w:r>
          </w:p>
        </w:tc>
        <w:tc>
          <w:tcPr/>
          <w:p>
            <w:pPr>
              <w:pStyle w:val="Compact"/>
            </w:pPr>
            <w:r>
              <w:t xml:space="preserve">—</w:t>
            </w:r>
          </w:p>
        </w:tc>
      </w:tr>
      <w:tr>
        <w:tc>
          <w:tcPr/>
          <w:p>
            <w:pPr>
              <w:pStyle w:val="Compact"/>
            </w:pPr>
            <w:r>
              <w:rPr>
                <w:b/>
                <w:bCs/>
              </w:rPr>
              <w:t xml:space="preserve">PT-1</w:t>
            </w:r>
          </w:p>
        </w:tc>
        <w:tc>
          <w:tcPr/>
          <w:p>
            <w:pPr>
              <w:pStyle w:val="Compact"/>
            </w:pPr>
            <w:r>
              <w:t xml:space="preserve">Policy and Procedures</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PT-2</w:t>
            </w:r>
          </w:p>
        </w:tc>
        <w:tc>
          <w:tcPr/>
          <w:p>
            <w:pPr>
              <w:pStyle w:val="Compact"/>
            </w:pPr>
            <w:r>
              <w:t xml:space="preserve">Authority to Process Personally Identifiable Information</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PT-3</w:t>
            </w:r>
          </w:p>
        </w:tc>
        <w:tc>
          <w:tcPr/>
          <w:p>
            <w:pPr>
              <w:pStyle w:val="Compact"/>
            </w:pPr>
            <w:r>
              <w:t xml:space="preserve">Personally Identifiable Information Processing Purposes</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PT-4</w:t>
            </w:r>
          </w:p>
        </w:tc>
        <w:tc>
          <w:tcPr/>
          <w:p>
            <w:pPr>
              <w:pStyle w:val="Compact"/>
            </w:pPr>
            <w:r>
              <w:t xml:space="preserve">Consent</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PT-5</w:t>
            </w:r>
          </w:p>
        </w:tc>
        <w:tc>
          <w:tcPr/>
          <w:p>
            <w:pPr>
              <w:pStyle w:val="Compact"/>
            </w:pPr>
            <w:r>
              <w:t xml:space="preserve">Privacy Notice</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PT-7</w:t>
            </w:r>
          </w:p>
        </w:tc>
        <w:tc>
          <w:tcPr/>
          <w:p>
            <w:pPr>
              <w:pStyle w:val="Compact"/>
            </w:pPr>
            <w:r>
              <w:t xml:space="preserve">Specific Categories of Personally Identifiable Information</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RA-3</w:t>
            </w:r>
          </w:p>
        </w:tc>
        <w:tc>
          <w:tcPr/>
          <w:p>
            <w:pPr>
              <w:pStyle w:val="Compact"/>
            </w:pPr>
            <w:r>
              <w:t xml:space="preserve">Risk Assessment</w:t>
            </w:r>
          </w:p>
        </w:tc>
        <w:tc>
          <w:tcPr/>
          <w:p>
            <w:pPr>
              <w:pStyle w:val="Compact"/>
            </w:pPr>
            <w:r>
              <w:t xml:space="preserve">RA</w:t>
            </w:r>
          </w:p>
        </w:tc>
        <w:tc>
          <w:tcPr/>
          <w:p>
            <w:pPr>
              <w:pStyle w:val="Compact"/>
            </w:pPr>
            <w:r>
              <w:t xml:space="preserve">Vol IV Bk 06</w:t>
            </w:r>
          </w:p>
        </w:tc>
        <w:tc>
          <w:tcPr/>
          <w:p>
            <w:pPr>
              <w:pStyle w:val="Compact"/>
            </w:pPr>
            <w:r>
              <w:t xml:space="preserve">—</w:t>
            </w:r>
          </w:p>
        </w:tc>
      </w:tr>
      <w:tr>
        <w:tc>
          <w:tcPr/>
          <w:p>
            <w:pPr>
              <w:pStyle w:val="Compact"/>
            </w:pPr>
            <w:r>
              <w:rPr>
                <w:b/>
                <w:bCs/>
              </w:rPr>
              <w:t xml:space="preserve">RA-5</w:t>
            </w:r>
          </w:p>
        </w:tc>
        <w:tc>
          <w:tcPr/>
          <w:p>
            <w:pPr>
              <w:pStyle w:val="Compact"/>
            </w:pPr>
            <w:r>
              <w:t xml:space="preserve">Vulnerability Monitoring and Scanning</w:t>
            </w:r>
          </w:p>
        </w:tc>
        <w:tc>
          <w:tcPr/>
          <w:p>
            <w:pPr>
              <w:pStyle w:val="Compact"/>
            </w:pPr>
            <w:r>
              <w:t xml:space="preserve">RA</w:t>
            </w:r>
          </w:p>
        </w:tc>
        <w:tc>
          <w:tcPr/>
          <w:p>
            <w:pPr>
              <w:pStyle w:val="Compact"/>
            </w:pPr>
            <w:r>
              <w:t xml:space="preserve">Vol III Bk 02, Vol III Bk 04, Vol VII Bk 03</w:t>
            </w:r>
          </w:p>
        </w:tc>
        <w:tc>
          <w:tcPr/>
          <w:p>
            <w:pPr>
              <w:pStyle w:val="Compact"/>
            </w:pPr>
            <w:r>
              <w:t xml:space="preserve">KSI-MLA</w:t>
            </w:r>
          </w:p>
        </w:tc>
      </w:tr>
      <w:tr>
        <w:tc>
          <w:tcPr/>
          <w:p>
            <w:pPr>
              <w:pStyle w:val="Compact"/>
            </w:pPr>
            <w:r>
              <w:rPr>
                <w:b/>
                <w:bCs/>
              </w:rPr>
              <w:t xml:space="preserve">RA-5(2)</w:t>
            </w:r>
          </w:p>
        </w:tc>
        <w:tc>
          <w:tcPr/>
          <w:p>
            <w:pPr>
              <w:pStyle w:val="Compact"/>
            </w:pPr>
            <w:r>
              <w:t xml:space="preserve">Vulnerability Monitoring and Scanning — Update Vulnerabilities to Be Scanned</w:t>
            </w:r>
          </w:p>
        </w:tc>
        <w:tc>
          <w:tcPr/>
          <w:p>
            <w:pPr>
              <w:pStyle w:val="Compact"/>
            </w:pPr>
            <w:r>
              <w:t xml:space="preserve">RA</w:t>
            </w:r>
          </w:p>
        </w:tc>
        <w:tc>
          <w:tcPr/>
          <w:p>
            <w:pPr>
              <w:pStyle w:val="Compact"/>
            </w:pPr>
            <w:r>
              <w:t xml:space="preserve">Vol III Bk 02</w:t>
            </w:r>
          </w:p>
        </w:tc>
        <w:tc>
          <w:tcPr/>
          <w:p>
            <w:pPr>
              <w:pStyle w:val="Compact"/>
            </w:pPr>
            <w:r>
              <w:t xml:space="preserve">—</w:t>
            </w:r>
          </w:p>
        </w:tc>
      </w:tr>
      <w:tr>
        <w:tc>
          <w:tcPr/>
          <w:p>
            <w:pPr>
              <w:pStyle w:val="Compact"/>
            </w:pPr>
            <w:r>
              <w:rPr>
                <w:b/>
                <w:bCs/>
              </w:rPr>
              <w:t xml:space="preserve">RA-5(5)</w:t>
            </w:r>
          </w:p>
        </w:tc>
        <w:tc>
          <w:tcPr/>
          <w:p>
            <w:pPr>
              <w:pStyle w:val="Compact"/>
            </w:pPr>
            <w:r>
              <w:t xml:space="preserve">Vulnerability Monitoring and Scanning — Privileged Access</w:t>
            </w:r>
          </w:p>
        </w:tc>
        <w:tc>
          <w:tcPr/>
          <w:p>
            <w:pPr>
              <w:pStyle w:val="Compact"/>
            </w:pPr>
            <w:r>
              <w:t xml:space="preserve">RA</w:t>
            </w:r>
          </w:p>
        </w:tc>
        <w:tc>
          <w:tcPr/>
          <w:p>
            <w:pPr>
              <w:pStyle w:val="Compact"/>
            </w:pPr>
            <w:r>
              <w:t xml:space="preserve">Vol III Bk 02</w:t>
            </w:r>
          </w:p>
        </w:tc>
        <w:tc>
          <w:tcPr/>
          <w:p>
            <w:pPr>
              <w:pStyle w:val="Compact"/>
            </w:pPr>
            <w:r>
              <w:t xml:space="preserve">—</w:t>
            </w:r>
          </w:p>
        </w:tc>
      </w:tr>
      <w:tr>
        <w:tc>
          <w:tcPr/>
          <w:p>
            <w:pPr>
              <w:pStyle w:val="Compact"/>
            </w:pPr>
            <w:r>
              <w:rPr>
                <w:b/>
                <w:bCs/>
              </w:rPr>
              <w:t xml:space="preserve">SA-8</w:t>
            </w:r>
          </w:p>
        </w:tc>
        <w:tc>
          <w:tcPr/>
          <w:p>
            <w:pPr>
              <w:pStyle w:val="Compact"/>
            </w:pPr>
            <w:r>
              <w:t xml:space="preserve">Security and Privacy Engineering Principles</w:t>
            </w:r>
          </w:p>
        </w:tc>
        <w:tc>
          <w:tcPr/>
          <w:p>
            <w:pPr>
              <w:pStyle w:val="Compact"/>
            </w:pPr>
            <w:r>
              <w:t xml:space="preserve">SA</w:t>
            </w:r>
          </w:p>
        </w:tc>
        <w:tc>
          <w:tcPr/>
          <w:p>
            <w:pPr>
              <w:pStyle w:val="Compact"/>
            </w:pPr>
            <w:r>
              <w:t xml:space="preserve">Vol II Bk 03</w:t>
            </w:r>
          </w:p>
        </w:tc>
        <w:tc>
          <w:tcPr/>
          <w:p>
            <w:pPr>
              <w:pStyle w:val="Compact"/>
            </w:pPr>
            <w:r>
              <w:t xml:space="preserve">—</w:t>
            </w:r>
          </w:p>
        </w:tc>
      </w:tr>
      <w:tr>
        <w:tc>
          <w:tcPr/>
          <w:p>
            <w:pPr>
              <w:pStyle w:val="Compact"/>
            </w:pPr>
            <w:r>
              <w:rPr>
                <w:b/>
                <w:bCs/>
              </w:rPr>
              <w:t xml:space="preserve">SA-9</w:t>
            </w:r>
          </w:p>
        </w:tc>
        <w:tc>
          <w:tcPr/>
          <w:p>
            <w:pPr>
              <w:pStyle w:val="Compact"/>
            </w:pPr>
            <w:r>
              <w:t xml:space="preserve">External System Services</w:t>
            </w:r>
          </w:p>
        </w:tc>
        <w:tc>
          <w:tcPr/>
          <w:p>
            <w:pPr>
              <w:pStyle w:val="Compact"/>
            </w:pPr>
            <w:r>
              <w:t xml:space="preserve">SA</w:t>
            </w:r>
          </w:p>
        </w:tc>
        <w:tc>
          <w:tcPr/>
          <w:p>
            <w:pPr>
              <w:pStyle w:val="Compact"/>
            </w:pPr>
            <w:r>
              <w:t xml:space="preserve">Vol I Bk 01, Vol I Bk 06, Vol IX Bk 05 †</w:t>
            </w:r>
          </w:p>
        </w:tc>
        <w:tc>
          <w:tcPr/>
          <w:p>
            <w:pPr>
              <w:pStyle w:val="Compact"/>
            </w:pPr>
            <w:r>
              <w:t xml:space="preserve">KSI-SCR</w:t>
            </w:r>
          </w:p>
        </w:tc>
      </w:tr>
      <w:tr>
        <w:tc>
          <w:tcPr/>
          <w:p>
            <w:pPr>
              <w:pStyle w:val="Compact"/>
            </w:pPr>
            <w:r>
              <w:rPr>
                <w:b/>
                <w:bCs/>
              </w:rPr>
              <w:t xml:space="preserve">SA-9(2)</w:t>
            </w:r>
          </w:p>
        </w:tc>
        <w:tc>
          <w:tcPr/>
          <w:p>
            <w:pPr>
              <w:pStyle w:val="Compact"/>
            </w:pPr>
            <w:r>
              <w:t xml:space="preserve">External System Services — Identification of Functions, Ports, Protocols, and Services</w:t>
            </w:r>
          </w:p>
        </w:tc>
        <w:tc>
          <w:tcPr/>
          <w:p>
            <w:pPr>
              <w:pStyle w:val="Compact"/>
            </w:pPr>
            <w:r>
              <w:t xml:space="preserve">SA</w:t>
            </w:r>
          </w:p>
        </w:tc>
        <w:tc>
          <w:tcPr/>
          <w:p>
            <w:pPr>
              <w:pStyle w:val="Compact"/>
            </w:pPr>
            <w:r>
              <w:t xml:space="preserve">Vol IX Bk 05</w:t>
            </w:r>
          </w:p>
        </w:tc>
        <w:tc>
          <w:tcPr/>
          <w:p>
            <w:pPr>
              <w:pStyle w:val="Compact"/>
            </w:pPr>
            <w:r>
              <w:t xml:space="preserve">KSI-SCR</w:t>
            </w:r>
          </w:p>
        </w:tc>
      </w:tr>
      <w:tr>
        <w:tc>
          <w:tcPr/>
          <w:p>
            <w:pPr>
              <w:pStyle w:val="Compact"/>
            </w:pPr>
            <w:r>
              <w:rPr>
                <w:b/>
                <w:bCs/>
              </w:rPr>
              <w:t xml:space="preserve">SA-11</w:t>
            </w:r>
          </w:p>
        </w:tc>
        <w:tc>
          <w:tcPr/>
          <w:p>
            <w:pPr>
              <w:pStyle w:val="Compact"/>
            </w:pPr>
            <w:r>
              <w:t xml:space="preserve">Developer Testing and Evaluation</w:t>
            </w:r>
          </w:p>
        </w:tc>
        <w:tc>
          <w:tcPr/>
          <w:p>
            <w:pPr>
              <w:pStyle w:val="Compact"/>
            </w:pPr>
            <w:r>
              <w:t xml:space="preserve">SA</w:t>
            </w:r>
          </w:p>
        </w:tc>
        <w:tc>
          <w:tcPr/>
          <w:p>
            <w:pPr>
              <w:pStyle w:val="Compact"/>
            </w:pPr>
            <w:r>
              <w:t xml:space="preserve">Vol III Bk 04</w:t>
            </w:r>
          </w:p>
        </w:tc>
        <w:tc>
          <w:tcPr/>
          <w:p>
            <w:pPr>
              <w:pStyle w:val="Compact"/>
            </w:pPr>
            <w:r>
              <w:t xml:space="preserve">KSI-SVC</w:t>
            </w:r>
          </w:p>
        </w:tc>
      </w:tr>
      <w:tr>
        <w:tc>
          <w:tcPr/>
          <w:p>
            <w:pPr>
              <w:pStyle w:val="Compact"/>
            </w:pPr>
            <w:r>
              <w:rPr>
                <w:b/>
                <w:bCs/>
              </w:rPr>
              <w:t xml:space="preserve">SA-15</w:t>
            </w:r>
          </w:p>
        </w:tc>
        <w:tc>
          <w:tcPr/>
          <w:p>
            <w:pPr>
              <w:pStyle w:val="Compact"/>
            </w:pPr>
            <w:r>
              <w:t xml:space="preserve">Development Process, Standards, and Tools</w:t>
            </w:r>
          </w:p>
        </w:tc>
        <w:tc>
          <w:tcPr/>
          <w:p>
            <w:pPr>
              <w:pStyle w:val="Compact"/>
            </w:pPr>
            <w:r>
              <w:t xml:space="preserve">SA</w:t>
            </w:r>
          </w:p>
        </w:tc>
        <w:tc>
          <w:tcPr/>
          <w:p>
            <w:pPr>
              <w:pStyle w:val="Compact"/>
            </w:pPr>
            <w:r>
              <w:t xml:space="preserve">Vol IV Bk 06</w:t>
            </w:r>
          </w:p>
        </w:tc>
        <w:tc>
          <w:tcPr/>
          <w:p>
            <w:pPr>
              <w:pStyle w:val="Compact"/>
            </w:pPr>
            <w:r>
              <w:t xml:space="preserve">—</w:t>
            </w:r>
          </w:p>
        </w:tc>
      </w:tr>
      <w:tr>
        <w:tc>
          <w:tcPr/>
          <w:p>
            <w:pPr>
              <w:pStyle w:val="Compact"/>
            </w:pPr>
            <w:r>
              <w:rPr>
                <w:b/>
                <w:bCs/>
              </w:rPr>
              <w:t xml:space="preserve">SC-5</w:t>
            </w:r>
          </w:p>
        </w:tc>
        <w:tc>
          <w:tcPr/>
          <w:p>
            <w:pPr>
              <w:pStyle w:val="Compact"/>
            </w:pPr>
            <w:r>
              <w:t xml:space="preserve">Denial-of-Service Protection</w:t>
            </w:r>
          </w:p>
        </w:tc>
        <w:tc>
          <w:tcPr/>
          <w:p>
            <w:pPr>
              <w:pStyle w:val="Compact"/>
            </w:pPr>
            <w:r>
              <w:t xml:space="preserve">SC</w:t>
            </w:r>
          </w:p>
        </w:tc>
        <w:tc>
          <w:tcPr/>
          <w:p>
            <w:pPr>
              <w:pStyle w:val="Compact"/>
            </w:pPr>
            <w:r>
              <w:t xml:space="preserve">Vol II Bk 03</w:t>
            </w:r>
          </w:p>
        </w:tc>
        <w:tc>
          <w:tcPr/>
          <w:p>
            <w:pPr>
              <w:pStyle w:val="Compact"/>
            </w:pPr>
            <w:r>
              <w:t xml:space="preserve">—</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SC</w:t>
            </w:r>
          </w:p>
        </w:tc>
        <w:tc>
          <w:tcPr/>
          <w:p>
            <w:pPr>
              <w:pStyle w:val="Compact"/>
            </w:pPr>
            <w:r>
              <w:t xml:space="preserve">Vol I Bk 01, Vol I Bk 05, Vol I Bk 06, Vol I Bk 07, Vol III Bk 04, Vol VI Bk 01</w:t>
            </w:r>
          </w:p>
        </w:tc>
        <w:tc>
          <w:tcPr/>
          <w:p>
            <w:pPr>
              <w:pStyle w:val="Compact"/>
            </w:pPr>
            <w:r>
              <w:t xml:space="preserve">KSI-CNA</w:t>
            </w:r>
          </w:p>
        </w:tc>
      </w:tr>
      <w:tr>
        <w:tc>
          <w:tcPr/>
          <w:p>
            <w:pPr>
              <w:pStyle w:val="Compact"/>
            </w:pPr>
            <w:r>
              <w:rPr>
                <w:b/>
                <w:bCs/>
              </w:rPr>
              <w:t xml:space="preserve">SC-7(3)</w:t>
            </w:r>
          </w:p>
        </w:tc>
        <w:tc>
          <w:tcPr/>
          <w:p>
            <w:pPr>
              <w:pStyle w:val="Compact"/>
            </w:pPr>
            <w:r>
              <w:t xml:space="preserve">Boundary Protection — Access Points</w:t>
            </w:r>
          </w:p>
        </w:tc>
        <w:tc>
          <w:tcPr/>
          <w:p>
            <w:pPr>
              <w:pStyle w:val="Compact"/>
            </w:pPr>
            <w:r>
              <w:t xml:space="preserve">SC</w:t>
            </w:r>
          </w:p>
        </w:tc>
        <w:tc>
          <w:tcPr/>
          <w:p>
            <w:pPr>
              <w:pStyle w:val="Compact"/>
            </w:pPr>
            <w:r>
              <w:t xml:space="preserve">Vol I Bk 02</w:t>
            </w:r>
          </w:p>
        </w:tc>
        <w:tc>
          <w:tcPr/>
          <w:p>
            <w:pPr>
              <w:pStyle w:val="Compact"/>
            </w:pPr>
            <w:r>
              <w:t xml:space="preserve">—</w:t>
            </w:r>
          </w:p>
        </w:tc>
      </w:tr>
      <w:tr>
        <w:tc>
          <w:tcPr/>
          <w:p>
            <w:pPr>
              <w:pStyle w:val="Compact"/>
            </w:pPr>
            <w:r>
              <w:rPr>
                <w:b/>
                <w:bCs/>
              </w:rPr>
              <w:t xml:space="preserve">SC-7(5)</w:t>
            </w:r>
          </w:p>
        </w:tc>
        <w:tc>
          <w:tcPr/>
          <w:p>
            <w:pPr>
              <w:pStyle w:val="Compact"/>
            </w:pPr>
            <w:r>
              <w:t xml:space="preserve">Boundary Protection — Deny by Default — Allow by Exception</w:t>
            </w:r>
          </w:p>
        </w:tc>
        <w:tc>
          <w:tcPr/>
          <w:p>
            <w:pPr>
              <w:pStyle w:val="Compact"/>
            </w:pPr>
            <w:r>
              <w:t xml:space="preserve">SC</w:t>
            </w:r>
          </w:p>
        </w:tc>
        <w:tc>
          <w:tcPr/>
          <w:p>
            <w:pPr>
              <w:pStyle w:val="Compact"/>
            </w:pPr>
            <w:r>
              <w:t xml:space="preserve">Vol I Bk 02</w:t>
            </w:r>
          </w:p>
        </w:tc>
        <w:tc>
          <w:tcPr/>
          <w:p>
            <w:pPr>
              <w:pStyle w:val="Compact"/>
            </w:pPr>
            <w:r>
              <w:t xml:space="preserve">—</w:t>
            </w:r>
          </w:p>
        </w:tc>
      </w:tr>
      <w:tr>
        <w:tc>
          <w:tcPr/>
          <w:p>
            <w:pPr>
              <w:pStyle w:val="Compact"/>
            </w:pPr>
            <w:r>
              <w:rPr>
                <w:b/>
                <w:bCs/>
              </w:rPr>
              <w:t xml:space="preserve">SC-7(7)</w:t>
            </w:r>
          </w:p>
        </w:tc>
        <w:tc>
          <w:tcPr/>
          <w:p>
            <w:pPr>
              <w:pStyle w:val="Compact"/>
            </w:pPr>
            <w:r>
              <w:t xml:space="preserve">Boundary Protection — Split Tunneling for Remote Devices</w:t>
            </w:r>
          </w:p>
        </w:tc>
        <w:tc>
          <w:tcPr/>
          <w:p>
            <w:pPr>
              <w:pStyle w:val="Compact"/>
            </w:pPr>
            <w:r>
              <w:t xml:space="preserve">SC</w:t>
            </w:r>
          </w:p>
        </w:tc>
        <w:tc>
          <w:tcPr/>
          <w:p>
            <w:pPr>
              <w:pStyle w:val="Compact"/>
            </w:pPr>
            <w:r>
              <w:t xml:space="preserve">Vol I Bk 06</w:t>
            </w:r>
          </w:p>
        </w:tc>
        <w:tc>
          <w:tcPr/>
          <w:p>
            <w:pPr>
              <w:pStyle w:val="Compact"/>
            </w:pPr>
            <w:r>
              <w:t xml:space="preserve">—</w:t>
            </w:r>
          </w:p>
        </w:tc>
      </w:tr>
      <w:tr>
        <w:tc>
          <w:tcPr/>
          <w:p>
            <w:pPr>
              <w:pStyle w:val="Compact"/>
            </w:pPr>
            <w:r>
              <w:rPr>
                <w:b/>
                <w:bCs/>
              </w:rPr>
              <w:t xml:space="preserve">SC-7(8)</w:t>
            </w:r>
          </w:p>
        </w:tc>
        <w:tc>
          <w:tcPr/>
          <w:p>
            <w:pPr>
              <w:pStyle w:val="Compact"/>
            </w:pPr>
            <w:r>
              <w:t xml:space="preserve">Boundary Protection — Route Traffic to Authenticated Proxy Servers</w:t>
            </w:r>
          </w:p>
        </w:tc>
        <w:tc>
          <w:tcPr/>
          <w:p>
            <w:pPr>
              <w:pStyle w:val="Compact"/>
            </w:pPr>
            <w:r>
              <w:t xml:space="preserve">SC</w:t>
            </w:r>
          </w:p>
        </w:tc>
        <w:tc>
          <w:tcPr/>
          <w:p>
            <w:pPr>
              <w:pStyle w:val="Compact"/>
            </w:pPr>
            <w:r>
              <w:t xml:space="preserve">Vol I Bk 07</w:t>
            </w:r>
          </w:p>
        </w:tc>
        <w:tc>
          <w:tcPr/>
          <w:p>
            <w:pPr>
              <w:pStyle w:val="Compact"/>
            </w:pPr>
            <w:r>
              <w:t xml:space="preserve">KSI-CNA</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SC</w:t>
            </w:r>
          </w:p>
        </w:tc>
        <w:tc>
          <w:tcPr/>
          <w:p>
            <w:pPr>
              <w:pStyle w:val="Compact"/>
            </w:pPr>
            <w:r>
              <w:t xml:space="preserve">Vol I Bk 01, Vol I Bk 05, Vol I Bk 06, Vol I Bk 07, Vol II Bk 01, Vol II Bk 03</w:t>
            </w:r>
          </w:p>
        </w:tc>
        <w:tc>
          <w:tcPr/>
          <w:p>
            <w:pPr>
              <w:pStyle w:val="Compact"/>
            </w:pPr>
            <w:r>
              <w:t xml:space="preserve">KSI-CNA</w:t>
            </w:r>
          </w:p>
        </w:tc>
      </w:tr>
      <w:tr>
        <w:tc>
          <w:tcPr/>
          <w:p>
            <w:pPr>
              <w:pStyle w:val="Compact"/>
            </w:pPr>
            <w:r>
              <w:rPr>
                <w:b/>
                <w:bCs/>
              </w:rPr>
              <w:t xml:space="preserve">SC-8(1)</w:t>
            </w:r>
          </w:p>
        </w:tc>
        <w:tc>
          <w:tcPr/>
          <w:p>
            <w:pPr>
              <w:pStyle w:val="Compact"/>
            </w:pPr>
            <w:r>
              <w:t xml:space="preserve">Transmission Confidentiality and Integrity — Cryptographic Protection</w:t>
            </w:r>
          </w:p>
        </w:tc>
        <w:tc>
          <w:tcPr/>
          <w:p>
            <w:pPr>
              <w:pStyle w:val="Compact"/>
            </w:pPr>
            <w:r>
              <w:t xml:space="preserve">SC</w:t>
            </w:r>
          </w:p>
        </w:tc>
        <w:tc>
          <w:tcPr/>
          <w:p>
            <w:pPr>
              <w:pStyle w:val="Compact"/>
            </w:pPr>
            <w:r>
              <w:t xml:space="preserve">Vol I Bk 07</w:t>
            </w:r>
          </w:p>
        </w:tc>
        <w:tc>
          <w:tcPr/>
          <w:p>
            <w:pPr>
              <w:pStyle w:val="Compact"/>
            </w:pPr>
            <w:r>
              <w:t xml:space="preserve">KSI-CNA</w:t>
            </w:r>
          </w:p>
        </w:tc>
      </w:tr>
      <w:tr>
        <w:tc>
          <w:tcPr/>
          <w:p>
            <w:pPr>
              <w:pStyle w:val="Compact"/>
            </w:pPr>
            <w:r>
              <w:rPr>
                <w:b/>
                <w:bCs/>
              </w:rPr>
              <w:t xml:space="preserve">SC-12</w:t>
            </w:r>
          </w:p>
        </w:tc>
        <w:tc>
          <w:tcPr/>
          <w:p>
            <w:pPr>
              <w:pStyle w:val="Compact"/>
            </w:pPr>
            <w:r>
              <w:t xml:space="preserve">Cryptographic Key Establishment and Management</w:t>
            </w:r>
          </w:p>
        </w:tc>
        <w:tc>
          <w:tcPr/>
          <w:p>
            <w:pPr>
              <w:pStyle w:val="Compact"/>
            </w:pPr>
            <w:r>
              <w:t xml:space="preserve">SC</w:t>
            </w:r>
          </w:p>
        </w:tc>
        <w:tc>
          <w:tcPr/>
          <w:p>
            <w:pPr>
              <w:pStyle w:val="Compact"/>
            </w:pPr>
            <w:r>
              <w:t xml:space="preserve">Vol I Bk 03, Vol III Bk 05, Vol VI Bk 05</w:t>
            </w:r>
          </w:p>
        </w:tc>
        <w:tc>
          <w:tcPr/>
          <w:p>
            <w:pPr>
              <w:pStyle w:val="Compact"/>
            </w:pPr>
            <w:r>
              <w:t xml:space="preserve">—</w:t>
            </w:r>
          </w:p>
        </w:tc>
      </w:tr>
      <w:tr>
        <w:tc>
          <w:tcPr/>
          <w:p>
            <w:pPr>
              <w:pStyle w:val="Compact"/>
            </w:pPr>
            <w:r>
              <w:rPr>
                <w:b/>
                <w:bCs/>
              </w:rPr>
              <w:t xml:space="preserve">SC-12(1)</w:t>
            </w:r>
          </w:p>
        </w:tc>
        <w:tc>
          <w:tcPr/>
          <w:p>
            <w:pPr>
              <w:pStyle w:val="Compact"/>
            </w:pPr>
            <w:r>
              <w:t xml:space="preserve">Availability</w:t>
            </w:r>
          </w:p>
        </w:tc>
        <w:tc>
          <w:tcPr/>
          <w:p>
            <w:pPr>
              <w:pStyle w:val="Compact"/>
            </w:pPr>
            <w:r>
              <w:t xml:space="preserve">SC</w:t>
            </w:r>
          </w:p>
        </w:tc>
        <w:tc>
          <w:tcPr/>
          <w:p>
            <w:pPr>
              <w:pStyle w:val="Compact"/>
            </w:pPr>
            <w:r>
              <w:t xml:space="preserve">Vol III Bk 05</w:t>
            </w:r>
          </w:p>
        </w:tc>
        <w:tc>
          <w:tcPr/>
          <w:p>
            <w:pPr>
              <w:pStyle w:val="Compact"/>
            </w:pPr>
            <w:r>
              <w:t xml:space="preserve">—</w:t>
            </w:r>
          </w:p>
        </w:tc>
      </w:tr>
      <w:tr>
        <w:tc>
          <w:tcPr/>
          <w:p>
            <w:pPr>
              <w:pStyle w:val="Compact"/>
            </w:pPr>
            <w:r>
              <w:rPr>
                <w:b/>
                <w:bCs/>
              </w:rPr>
              <w:t xml:space="preserve">SC-13</w:t>
            </w:r>
          </w:p>
        </w:tc>
        <w:tc>
          <w:tcPr/>
          <w:p>
            <w:pPr>
              <w:pStyle w:val="Compact"/>
            </w:pPr>
            <w:r>
              <w:t xml:space="preserve">Cryptographic Protection</w:t>
            </w:r>
          </w:p>
        </w:tc>
        <w:tc>
          <w:tcPr/>
          <w:p>
            <w:pPr>
              <w:pStyle w:val="Compact"/>
            </w:pPr>
            <w:r>
              <w:t xml:space="preserve">SC</w:t>
            </w:r>
          </w:p>
        </w:tc>
        <w:tc>
          <w:tcPr/>
          <w:p>
            <w:pPr>
              <w:pStyle w:val="Compact"/>
            </w:pPr>
            <w:r>
              <w:t xml:space="preserve">Vol III Bk 05</w:t>
            </w:r>
          </w:p>
        </w:tc>
        <w:tc>
          <w:tcPr/>
          <w:p>
            <w:pPr>
              <w:pStyle w:val="Compact"/>
            </w:pPr>
            <w:r>
              <w:t xml:space="preserve">—</w:t>
            </w:r>
          </w:p>
        </w:tc>
      </w:tr>
      <w:tr>
        <w:tc>
          <w:tcPr/>
          <w:p>
            <w:pPr>
              <w:pStyle w:val="Compact"/>
            </w:pPr>
            <w:r>
              <w:rPr>
                <w:b/>
                <w:bCs/>
              </w:rPr>
              <w:t xml:space="preserve">SC-17</w:t>
            </w:r>
          </w:p>
        </w:tc>
        <w:tc>
          <w:tcPr/>
          <w:p>
            <w:pPr>
              <w:pStyle w:val="Compact"/>
            </w:pPr>
            <w:r>
              <w:t xml:space="preserve">Public Key Infrastructure Certificates</w:t>
            </w:r>
          </w:p>
        </w:tc>
        <w:tc>
          <w:tcPr/>
          <w:p>
            <w:pPr>
              <w:pStyle w:val="Compact"/>
            </w:pPr>
            <w:r>
              <w:t xml:space="preserve">SC</w:t>
            </w:r>
          </w:p>
        </w:tc>
        <w:tc>
          <w:tcPr/>
          <w:p>
            <w:pPr>
              <w:pStyle w:val="Compact"/>
            </w:pPr>
            <w:r>
              <w:t xml:space="preserve">Vol I Bk 03, Vol III Bk 05, Vol VI Bk 02, Vol IX Bk 03</w:t>
            </w:r>
          </w:p>
        </w:tc>
        <w:tc>
          <w:tcPr/>
          <w:p>
            <w:pPr>
              <w:pStyle w:val="Compact"/>
            </w:pPr>
            <w:r>
              <w:t xml:space="preserve">KSI-IAM</w:t>
            </w:r>
          </w:p>
        </w:tc>
      </w:tr>
      <w:tr>
        <w:tc>
          <w:tcPr/>
          <w:p>
            <w:pPr>
              <w:pStyle w:val="Compact"/>
            </w:pPr>
            <w:r>
              <w:rPr>
                <w:b/>
                <w:bCs/>
              </w:rPr>
              <w:t xml:space="preserve">SC-20</w:t>
            </w:r>
          </w:p>
        </w:tc>
        <w:tc>
          <w:tcPr/>
          <w:p>
            <w:pPr>
              <w:pStyle w:val="Compact"/>
            </w:pPr>
            <w:r>
              <w:t xml:space="preserve">Secure Name/Address Resolution Service (Authoritative Source)</w:t>
            </w:r>
          </w:p>
        </w:tc>
        <w:tc>
          <w:tcPr/>
          <w:p>
            <w:pPr>
              <w:pStyle w:val="Compact"/>
            </w:pPr>
            <w:r>
              <w:t xml:space="preserve">SC</w:t>
            </w:r>
          </w:p>
        </w:tc>
        <w:tc>
          <w:tcPr/>
          <w:p>
            <w:pPr>
              <w:pStyle w:val="Compact"/>
            </w:pPr>
            <w:r>
              <w:t xml:space="preserve">Vol I Bk 01, Vol VI Bk 01, Vol VIII Bk 06</w:t>
            </w:r>
          </w:p>
        </w:tc>
        <w:tc>
          <w:tcPr/>
          <w:p>
            <w:pPr>
              <w:pStyle w:val="Compact"/>
            </w:pPr>
            <w:r>
              <w:t xml:space="preserve">KSI-CNA</w:t>
            </w:r>
          </w:p>
        </w:tc>
      </w:tr>
      <w:tr>
        <w:tc>
          <w:tcPr/>
          <w:p>
            <w:pPr>
              <w:pStyle w:val="Compact"/>
            </w:pPr>
            <w:r>
              <w:rPr>
                <w:b/>
                <w:bCs/>
              </w:rPr>
              <w:t xml:space="preserve">SC-21</w:t>
            </w:r>
          </w:p>
        </w:tc>
        <w:tc>
          <w:tcPr/>
          <w:p>
            <w:pPr>
              <w:pStyle w:val="Compact"/>
            </w:pPr>
            <w:r>
              <w:t xml:space="preserve">Secure Name/Address Resolution Service (Recursive or Caching Resolver)</w:t>
            </w:r>
          </w:p>
        </w:tc>
        <w:tc>
          <w:tcPr/>
          <w:p>
            <w:pPr>
              <w:pStyle w:val="Compact"/>
            </w:pPr>
            <w:r>
              <w:t xml:space="preserve">SC</w:t>
            </w:r>
          </w:p>
        </w:tc>
        <w:tc>
          <w:tcPr/>
          <w:p>
            <w:pPr>
              <w:pStyle w:val="Compact"/>
            </w:pPr>
            <w:r>
              <w:t xml:space="preserve">Vol I Bk 01, Vol VI Bk 01</w:t>
            </w:r>
          </w:p>
        </w:tc>
        <w:tc>
          <w:tcPr/>
          <w:p>
            <w:pPr>
              <w:pStyle w:val="Compact"/>
            </w:pPr>
            <w:r>
              <w:t xml:space="preserve">—</w:t>
            </w:r>
          </w:p>
        </w:tc>
      </w:tr>
      <w:tr>
        <w:tc>
          <w:tcPr/>
          <w:p>
            <w:pPr>
              <w:pStyle w:val="Compact"/>
            </w:pPr>
            <w:r>
              <w:rPr>
                <w:b/>
                <w:bCs/>
              </w:rPr>
              <w:t xml:space="preserve">SC-22</w:t>
            </w:r>
          </w:p>
        </w:tc>
        <w:tc>
          <w:tcPr/>
          <w:p>
            <w:pPr>
              <w:pStyle w:val="Compact"/>
            </w:pPr>
            <w:r>
              <w:t xml:space="preserve">Architecture and Provisioning for Name/Address Resolution Service</w:t>
            </w:r>
          </w:p>
        </w:tc>
        <w:tc>
          <w:tcPr/>
          <w:p>
            <w:pPr>
              <w:pStyle w:val="Compact"/>
            </w:pPr>
            <w:r>
              <w:t xml:space="preserve">SC</w:t>
            </w:r>
          </w:p>
        </w:tc>
        <w:tc>
          <w:tcPr/>
          <w:p>
            <w:pPr>
              <w:pStyle w:val="Compact"/>
            </w:pPr>
            <w:r>
              <w:t xml:space="preserve">Vol I Bk 01, Vol VI Bk 01, Vol VIII Bk 06</w:t>
            </w:r>
          </w:p>
        </w:tc>
        <w:tc>
          <w:tcPr/>
          <w:p>
            <w:pPr>
              <w:pStyle w:val="Compact"/>
            </w:pPr>
            <w:r>
              <w:t xml:space="preserve">KSI-CNA</w:t>
            </w:r>
          </w:p>
        </w:tc>
      </w:tr>
      <w:tr>
        <w:tc>
          <w:tcPr/>
          <w:p>
            <w:pPr>
              <w:pStyle w:val="Compact"/>
            </w:pPr>
            <w:r>
              <w:rPr>
                <w:b/>
                <w:bCs/>
              </w:rPr>
              <w:t xml:space="preserve">SC-28</w:t>
            </w:r>
          </w:p>
        </w:tc>
        <w:tc>
          <w:tcPr/>
          <w:p>
            <w:pPr>
              <w:pStyle w:val="Compact"/>
            </w:pPr>
            <w:r>
              <w:t xml:space="preserve">Protection of Information at Rest</w:t>
            </w:r>
          </w:p>
        </w:tc>
        <w:tc>
          <w:tcPr/>
          <w:p>
            <w:pPr>
              <w:pStyle w:val="Compact"/>
            </w:pPr>
            <w:r>
              <w:t xml:space="preserve">SC</w:t>
            </w:r>
          </w:p>
        </w:tc>
        <w:tc>
          <w:tcPr/>
          <w:p>
            <w:pPr>
              <w:pStyle w:val="Compact"/>
            </w:pPr>
            <w:r>
              <w:t xml:space="preserve">Vol II Bk 03, Vol III Bk 05, Vol VI Bk 05</w:t>
            </w:r>
          </w:p>
        </w:tc>
        <w:tc>
          <w:tcPr/>
          <w:p>
            <w:pPr>
              <w:pStyle w:val="Compact"/>
            </w:pPr>
            <w:r>
              <w:t xml:space="preserve">—</w:t>
            </w:r>
          </w:p>
        </w:tc>
      </w:tr>
      <w:tr>
        <w:tc>
          <w:tcPr/>
          <w:p>
            <w:pPr>
              <w:pStyle w:val="Compact"/>
            </w:pPr>
            <w:r>
              <w:rPr>
                <w:b/>
                <w:bCs/>
              </w:rPr>
              <w:t xml:space="preserve">SI-2</w:t>
            </w:r>
          </w:p>
        </w:tc>
        <w:tc>
          <w:tcPr/>
          <w:p>
            <w:pPr>
              <w:pStyle w:val="Compact"/>
            </w:pPr>
            <w:r>
              <w:t xml:space="preserve">Flaw Remediation</w:t>
            </w:r>
          </w:p>
        </w:tc>
        <w:tc>
          <w:tcPr/>
          <w:p>
            <w:pPr>
              <w:pStyle w:val="Compact"/>
            </w:pPr>
            <w:r>
              <w:t xml:space="preserve">SI</w:t>
            </w:r>
          </w:p>
        </w:tc>
        <w:tc>
          <w:tcPr/>
          <w:p>
            <w:pPr>
              <w:pStyle w:val="Compact"/>
            </w:pPr>
            <w:r>
              <w:t xml:space="preserve">Vol III Bk 02, Vol III Bk 03, Vol VI Bk 06, Vol VII Bk 03</w:t>
            </w:r>
          </w:p>
        </w:tc>
        <w:tc>
          <w:tcPr/>
          <w:p>
            <w:pPr>
              <w:pStyle w:val="Compact"/>
            </w:pPr>
            <w:r>
              <w:t xml:space="preserve">KSI-MLA, KSI-SVC</w:t>
            </w:r>
          </w:p>
        </w:tc>
      </w:tr>
      <w:tr>
        <w:tc>
          <w:tcPr/>
          <w:p>
            <w:pPr>
              <w:pStyle w:val="Compact"/>
            </w:pPr>
            <w:r>
              <w:rPr>
                <w:b/>
                <w:bCs/>
              </w:rPr>
              <w:t xml:space="preserve">SI-2(2)</w:t>
            </w:r>
          </w:p>
        </w:tc>
        <w:tc>
          <w:tcPr/>
          <w:p>
            <w:pPr>
              <w:pStyle w:val="Compact"/>
            </w:pPr>
            <w:r>
              <w:t xml:space="preserve">Flaw Remediation — Automated Flaw Remediation Status</w:t>
            </w:r>
          </w:p>
        </w:tc>
        <w:tc>
          <w:tcPr/>
          <w:p>
            <w:pPr>
              <w:pStyle w:val="Compact"/>
            </w:pPr>
            <w:r>
              <w:t xml:space="preserve">SI</w:t>
            </w:r>
          </w:p>
        </w:tc>
        <w:tc>
          <w:tcPr/>
          <w:p>
            <w:pPr>
              <w:pStyle w:val="Compact"/>
            </w:pPr>
            <w:r>
              <w:t xml:space="preserve">Vol III Bk 02, Vol III Bk 03</w:t>
            </w:r>
          </w:p>
        </w:tc>
        <w:tc>
          <w:tcPr/>
          <w:p>
            <w:pPr>
              <w:pStyle w:val="Compact"/>
            </w:pPr>
            <w:r>
              <w:t xml:space="preserve">KSI-MLA, KSI-SVC</w:t>
            </w:r>
          </w:p>
        </w:tc>
      </w:tr>
      <w:tr>
        <w:tc>
          <w:tcPr/>
          <w:p>
            <w:pPr>
              <w:pStyle w:val="Compact"/>
            </w:pPr>
            <w:r>
              <w:rPr>
                <w:b/>
                <w:bCs/>
              </w:rPr>
              <w:t xml:space="preserve">SI-2(3)</w:t>
            </w:r>
          </w:p>
        </w:tc>
        <w:tc>
          <w:tcPr/>
          <w:p>
            <w:pPr>
              <w:pStyle w:val="Compact"/>
            </w:pPr>
            <w:r>
              <w:t xml:space="preserve">Flaw Remediation — Time to Remediate Flaws and Benchmarks for Corrective Actions</w:t>
            </w:r>
          </w:p>
        </w:tc>
        <w:tc>
          <w:tcPr/>
          <w:p>
            <w:pPr>
              <w:pStyle w:val="Compact"/>
            </w:pPr>
            <w:r>
              <w:t xml:space="preserve">SI</w:t>
            </w:r>
          </w:p>
        </w:tc>
        <w:tc>
          <w:tcPr/>
          <w:p>
            <w:pPr>
              <w:pStyle w:val="Compact"/>
            </w:pPr>
            <w:r>
              <w:t xml:space="preserve">Vol III Bk 03</w:t>
            </w:r>
          </w:p>
        </w:tc>
        <w:tc>
          <w:tcPr/>
          <w:p>
            <w:pPr>
              <w:pStyle w:val="Compact"/>
            </w:pPr>
            <w:r>
              <w:t xml:space="preserve">KSI-SVC</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SI</w:t>
            </w:r>
          </w:p>
        </w:tc>
        <w:tc>
          <w:tcPr/>
          <w:p>
            <w:pPr>
              <w:pStyle w:val="Compact"/>
            </w:pPr>
            <w:r>
              <w:t xml:space="preserve">Vol I Bk 01, Vol I Bk 05, Vol I Bk 06, Vol III Bk 04</w:t>
            </w:r>
          </w:p>
        </w:tc>
        <w:tc>
          <w:tcPr/>
          <w:p>
            <w:pPr>
              <w:pStyle w:val="Compact"/>
            </w:pPr>
            <w:r>
              <w:t xml:space="preserve">KSI-MLA</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SI</w:t>
            </w:r>
          </w:p>
        </w:tc>
        <w:tc>
          <w:tcPr/>
          <w:p>
            <w:pPr>
              <w:pStyle w:val="Compact"/>
            </w:pPr>
            <w:r>
              <w:t xml:space="preserve">Vol I Bk 05, Vol I Bk 06, Vol I Bk 07, Vol II Bk 01, Vol III Bk 06, Vol VI Bk 03, Vol VI Bk 08</w:t>
            </w:r>
          </w:p>
        </w:tc>
        <w:tc>
          <w:tcPr/>
          <w:p>
            <w:pPr>
              <w:pStyle w:val="Compact"/>
            </w:pPr>
            <w:r>
              <w:t xml:space="preserve">KSI-MLA</w:t>
            </w:r>
          </w:p>
        </w:tc>
      </w:tr>
      <w:tr>
        <w:tc>
          <w:tcPr/>
          <w:p>
            <w:pPr>
              <w:pStyle w:val="Compact"/>
            </w:pPr>
            <w:r>
              <w:rPr>
                <w:b/>
                <w:bCs/>
              </w:rPr>
              <w:t xml:space="preserve">SI-4(2)</w:t>
            </w:r>
          </w:p>
        </w:tc>
        <w:tc>
          <w:tcPr/>
          <w:p>
            <w:pPr>
              <w:pStyle w:val="Compact"/>
            </w:pPr>
            <w:r>
              <w:t xml:space="preserve">Automated Tools and Mechanisms for Real-time Analysis</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SI-4(4)</w:t>
            </w:r>
          </w:p>
        </w:tc>
        <w:tc>
          <w:tcPr/>
          <w:p>
            <w:pPr>
              <w:pStyle w:val="Compact"/>
            </w:pPr>
            <w:r>
              <w:t xml:space="preserve">Inbound and Outbound Communications Traffic</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SI-4(7)</w:t>
            </w:r>
          </w:p>
        </w:tc>
        <w:tc>
          <w:tcPr/>
          <w:p>
            <w:pPr>
              <w:pStyle w:val="Compact"/>
            </w:pPr>
            <w:r>
              <w:t xml:space="preserve">Automated Response to Suspicious Events</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SI-4(16)</w:t>
            </w:r>
          </w:p>
        </w:tc>
        <w:tc>
          <w:tcPr/>
          <w:p>
            <w:pPr>
              <w:pStyle w:val="Compact"/>
            </w:pPr>
            <w:r>
              <w:t xml:space="preserve">Correlate Monitoring Information</w:t>
            </w:r>
          </w:p>
        </w:tc>
        <w:tc>
          <w:tcPr/>
          <w:p>
            <w:pPr>
              <w:pStyle w:val="Compact"/>
            </w:pPr>
            <w:r>
              <w:t xml:space="preserve">SI</w:t>
            </w:r>
          </w:p>
        </w:tc>
        <w:tc>
          <w:tcPr/>
          <w:p>
            <w:pPr>
              <w:pStyle w:val="Compact"/>
            </w:pPr>
            <w:r>
              <w:t xml:space="preserve">Vol III Bk 07</w:t>
            </w:r>
          </w:p>
        </w:tc>
        <w:tc>
          <w:tcPr/>
          <w:p>
            <w:pPr>
              <w:pStyle w:val="Compact"/>
            </w:pPr>
            <w:r>
              <w:t xml:space="preserve">KSI-MLA</w:t>
            </w:r>
          </w:p>
        </w:tc>
      </w:tr>
      <w:tr>
        <w:tc>
          <w:tcPr/>
          <w:p>
            <w:pPr>
              <w:pStyle w:val="Compact"/>
            </w:pPr>
            <w:r>
              <w:rPr>
                <w:b/>
                <w:bCs/>
              </w:rPr>
              <w:t xml:space="preserve">SI-5</w:t>
            </w:r>
          </w:p>
        </w:tc>
        <w:tc>
          <w:tcPr/>
          <w:p>
            <w:pPr>
              <w:pStyle w:val="Compact"/>
            </w:pPr>
            <w:r>
              <w:t xml:space="preserve">Security Alerts, Advisories, and Directives</w:t>
            </w:r>
          </w:p>
        </w:tc>
        <w:tc>
          <w:tcPr/>
          <w:p>
            <w:pPr>
              <w:pStyle w:val="Compact"/>
            </w:pPr>
            <w:r>
              <w:t xml:space="preserve">SI</w:t>
            </w:r>
          </w:p>
        </w:tc>
        <w:tc>
          <w:tcPr/>
          <w:p>
            <w:pPr>
              <w:pStyle w:val="Compact"/>
            </w:pPr>
            <w:r>
              <w:t xml:space="preserve">Vol III Bk 02</w:t>
            </w:r>
          </w:p>
        </w:tc>
        <w:tc>
          <w:tcPr/>
          <w:p>
            <w:pPr>
              <w:pStyle w:val="Compact"/>
            </w:pPr>
            <w:r>
              <w:t xml:space="preserve">—</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SI</w:t>
            </w:r>
          </w:p>
        </w:tc>
        <w:tc>
          <w:tcPr/>
          <w:p>
            <w:pPr>
              <w:pStyle w:val="Compact"/>
            </w:pPr>
            <w:r>
              <w:t xml:space="preserve">Vol I Bk 04, Vol II Bk 03</w:t>
            </w:r>
          </w:p>
        </w:tc>
        <w:tc>
          <w:tcPr/>
          <w:p>
            <w:pPr>
              <w:pStyle w:val="Compact"/>
            </w:pPr>
            <w:r>
              <w:t xml:space="preserve">—</w:t>
            </w:r>
          </w:p>
        </w:tc>
      </w:tr>
      <w:tr>
        <w:tc>
          <w:tcPr/>
          <w:p>
            <w:pPr>
              <w:pStyle w:val="Compact"/>
            </w:pPr>
            <w:r>
              <w:rPr>
                <w:b/>
                <w:bCs/>
              </w:rPr>
              <w:t xml:space="preserve">SR-1</w:t>
            </w:r>
          </w:p>
        </w:tc>
        <w:tc>
          <w:tcPr/>
          <w:p>
            <w:pPr>
              <w:pStyle w:val="Compact"/>
            </w:pPr>
            <w:r>
              <w:t xml:space="preserve">Policy and Procedures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SR-2</w:t>
            </w:r>
          </w:p>
        </w:tc>
        <w:tc>
          <w:tcPr/>
          <w:p>
            <w:pPr>
              <w:pStyle w:val="Compact"/>
            </w:pPr>
            <w:r>
              <w:t xml:space="preserve">Supply Chain Risk Management Plan</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SR-3</w:t>
            </w:r>
          </w:p>
        </w:tc>
        <w:tc>
          <w:tcPr/>
          <w:p>
            <w:pPr>
              <w:pStyle w:val="Compact"/>
            </w:pPr>
            <w:r>
              <w:t xml:space="preserve">Supply Chain Controls and Processes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SR-5</w:t>
            </w:r>
          </w:p>
        </w:tc>
        <w:tc>
          <w:tcPr/>
          <w:p>
            <w:pPr>
              <w:pStyle w:val="Compact"/>
            </w:pPr>
            <w:r>
              <w:t xml:space="preserve">Acquisition Strategies, Tools, and Methods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SR-6</w:t>
            </w:r>
          </w:p>
        </w:tc>
        <w:tc>
          <w:tcPr/>
          <w:p>
            <w:pPr>
              <w:pStyle w:val="Compact"/>
            </w:pPr>
            <w:r>
              <w:t xml:space="preserve">Supplier Assessments and Reviews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SR-8</w:t>
            </w:r>
          </w:p>
        </w:tc>
        <w:tc>
          <w:tcPr/>
          <w:p>
            <w:pPr>
              <w:pStyle w:val="Compact"/>
            </w:pPr>
            <w:r>
              <w:t xml:space="preserve">Notification Agreements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SR-10</w:t>
            </w:r>
          </w:p>
        </w:tc>
        <w:tc>
          <w:tcPr/>
          <w:p>
            <w:pPr>
              <w:pStyle w:val="Compact"/>
            </w:pPr>
            <w:r>
              <w:t xml:space="preserve">Inspection of Systems or Components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SR-11</w:t>
            </w:r>
          </w:p>
        </w:tc>
        <w:tc>
          <w:tcPr/>
          <w:p>
            <w:pPr>
              <w:pStyle w:val="Compact"/>
            </w:pPr>
            <w:r>
              <w:t xml:space="preserve">Component Authenticity</w:t>
            </w:r>
          </w:p>
        </w:tc>
        <w:tc>
          <w:tcPr/>
          <w:p>
            <w:pPr>
              <w:pStyle w:val="Compact"/>
            </w:pPr>
            <w:r>
              <w:t xml:space="preserve">SR</w:t>
            </w:r>
          </w:p>
        </w:tc>
        <w:tc>
          <w:tcPr/>
          <w:p>
            <w:pPr>
              <w:pStyle w:val="Compact"/>
            </w:pPr>
            <w:r>
              <w:t xml:space="preserve">Vol IV Bk 02</w:t>
            </w:r>
          </w:p>
        </w:tc>
        <w:tc>
          <w:tcPr/>
          <w:p>
            <w:pPr>
              <w:pStyle w:val="Compact"/>
            </w:pPr>
            <w:r>
              <w:t xml:space="preserve">—</w:t>
            </w:r>
          </w:p>
        </w:tc>
      </w:tr>
    </w:tbl>
    <w:p>
      <w:pPr>
        <w:pStyle w:val="BodyText"/>
      </w:pPr>
      <w:r>
        <w:t xml:space="preserve">† Coordination-only closure: the row’s primary closure is carried by the architecture volume(s) listed alongside it; Vol IX Bk 05 coordinates the control (ServiceNow supplier-review workflow for SA-9) rather than closing it in its own right.</w:t>
      </w:r>
    </w:p>
    <w:bookmarkEnd w:id="117"/>
    <w:bookmarkStart w:id="118" w:name="control-coverage-by-volume"/>
    <w:p>
      <w:pPr>
        <w:pStyle w:val="Heading1"/>
      </w:pPr>
      <w:r>
        <w:t xml:space="preserve">Control Coverage by Volume</w:t>
      </w:r>
    </w:p>
    <w:p>
      <w:pPr>
        <w:pStyle w:val="FirstParagraph"/>
      </w:pPr>
      <w:r>
        <w:t xml:space="preserve">Distinct controls addressed within each volume (a control addressed in several volumes is counted in each).</w:t>
      </w:r>
    </w:p>
    <w:p>
      <w:pPr>
        <w:pStyle w:val="TableCaption"/>
      </w:pPr>
      <w:r>
        <w:t xml:space="preserve">Control coverage by volume</w:t>
      </w:r>
    </w:p>
    <w:tbl>
      <w:tblPr>
        <w:tblStyle w:val="Table"/>
        <w:tblW w:type="auto" w:w="0"/>
        <w:tblLook w:firstRow="1" w:lastRow="0" w:firstColumn="0" w:lastColumn="0" w:noHBand="0" w:noVBand="0" w:val="0020"/>
        <w:tblCaption w:val="Control coverage by volume"/>
      </w:tblPr>
      <w:tblGrid>
        <w:gridCol w:w="3960"/>
        <w:gridCol w:w="3960"/>
      </w:tblGrid>
      <w:tr>
        <w:trPr>
          <w:tblHeader w:val="on"/>
        </w:trPr>
        <w:tc>
          <w:tcPr/>
          <w:p>
            <w:pPr>
              <w:pStyle w:val="Compact"/>
            </w:pPr>
            <w:r>
              <w:t xml:space="preserve">Volume</w:t>
            </w:r>
          </w:p>
        </w:tc>
        <w:tc>
          <w:tcPr/>
          <w:p>
            <w:pPr>
              <w:pStyle w:val="Compact"/>
            </w:pPr>
            <w:r>
              <w:t xml:space="preserve">Distinct controls addressed</w:t>
            </w:r>
          </w:p>
        </w:tc>
      </w:tr>
      <w:tr>
        <w:tc>
          <w:tcPr/>
          <w:p>
            <w:pPr>
              <w:pStyle w:val="Compact"/>
            </w:pPr>
            <w:r>
              <w:t xml:space="preserve">Vol I</w:t>
            </w:r>
          </w:p>
        </w:tc>
        <w:tc>
          <w:tcPr/>
          <w:p>
            <w:pPr>
              <w:pStyle w:val="Compact"/>
            </w:pPr>
            <w:r>
              <w:t xml:space="preserve">41</w:t>
            </w:r>
          </w:p>
        </w:tc>
      </w:tr>
      <w:tr>
        <w:tc>
          <w:tcPr/>
          <w:p>
            <w:pPr>
              <w:pStyle w:val="Compact"/>
            </w:pPr>
            <w:r>
              <w:t xml:space="preserve">Vol II</w:t>
            </w:r>
          </w:p>
        </w:tc>
        <w:tc>
          <w:tcPr/>
          <w:p>
            <w:pPr>
              <w:pStyle w:val="Compact"/>
            </w:pPr>
            <w:r>
              <w:t xml:space="preserve">22</w:t>
            </w:r>
          </w:p>
        </w:tc>
      </w:tr>
      <w:tr>
        <w:tc>
          <w:tcPr/>
          <w:p>
            <w:pPr>
              <w:pStyle w:val="Compact"/>
            </w:pPr>
            <w:r>
              <w:t xml:space="preserve">Vol III</w:t>
            </w:r>
          </w:p>
        </w:tc>
        <w:tc>
          <w:tcPr/>
          <w:p>
            <w:pPr>
              <w:pStyle w:val="Compact"/>
            </w:pPr>
            <w:r>
              <w:t xml:space="preserve">54</w:t>
            </w:r>
          </w:p>
        </w:tc>
      </w:tr>
      <w:tr>
        <w:tc>
          <w:tcPr/>
          <w:p>
            <w:pPr>
              <w:pStyle w:val="Compact"/>
            </w:pPr>
            <w:r>
              <w:t xml:space="preserve">Vol IV</w:t>
            </w:r>
          </w:p>
        </w:tc>
        <w:tc>
          <w:tcPr/>
          <w:p>
            <w:pPr>
              <w:pStyle w:val="Compact"/>
            </w:pPr>
            <w:r>
              <w:t xml:space="preserve">54</w:t>
            </w:r>
          </w:p>
        </w:tc>
      </w:tr>
      <w:tr>
        <w:tc>
          <w:tcPr/>
          <w:p>
            <w:pPr>
              <w:pStyle w:val="Compact"/>
            </w:pPr>
            <w:r>
              <w:t xml:space="preserve">Vol V</w:t>
            </w:r>
          </w:p>
        </w:tc>
        <w:tc>
          <w:tcPr/>
          <w:p>
            <w:pPr>
              <w:pStyle w:val="Compact"/>
            </w:pPr>
            <w:r>
              <w:t xml:space="preserve">2</w:t>
            </w:r>
          </w:p>
        </w:tc>
      </w:tr>
      <w:tr>
        <w:tc>
          <w:tcPr/>
          <w:p>
            <w:pPr>
              <w:pStyle w:val="Compact"/>
            </w:pPr>
            <w:r>
              <w:t xml:space="preserve">Vol VI</w:t>
            </w:r>
          </w:p>
        </w:tc>
        <w:tc>
          <w:tcPr/>
          <w:p>
            <w:pPr>
              <w:pStyle w:val="Compact"/>
            </w:pPr>
            <w:r>
              <w:t xml:space="preserve">38</w:t>
            </w:r>
          </w:p>
        </w:tc>
      </w:tr>
      <w:tr>
        <w:tc>
          <w:tcPr/>
          <w:p>
            <w:pPr>
              <w:pStyle w:val="Compact"/>
            </w:pPr>
            <w:r>
              <w:t xml:space="preserve">Vol VII</w:t>
            </w:r>
          </w:p>
        </w:tc>
        <w:tc>
          <w:tcPr/>
          <w:p>
            <w:pPr>
              <w:pStyle w:val="Compact"/>
            </w:pPr>
            <w:r>
              <w:t xml:space="preserve">12</w:t>
            </w:r>
          </w:p>
        </w:tc>
      </w:tr>
      <w:tr>
        <w:tc>
          <w:tcPr/>
          <w:p>
            <w:pPr>
              <w:pStyle w:val="Compact"/>
            </w:pPr>
            <w:r>
              <w:t xml:space="preserve">Vol VIII</w:t>
            </w:r>
          </w:p>
        </w:tc>
        <w:tc>
          <w:tcPr/>
          <w:p>
            <w:pPr>
              <w:pStyle w:val="Compact"/>
            </w:pPr>
            <w:r>
              <w:t xml:space="preserve">6</w:t>
            </w:r>
          </w:p>
        </w:tc>
      </w:tr>
      <w:tr>
        <w:tc>
          <w:tcPr/>
          <w:p>
            <w:pPr>
              <w:pStyle w:val="Compact"/>
            </w:pPr>
            <w:r>
              <w:t xml:space="preserve">Vol IX</w:t>
            </w:r>
          </w:p>
        </w:tc>
        <w:tc>
          <w:tcPr/>
          <w:p>
            <w:pPr>
              <w:pStyle w:val="Compact"/>
            </w:pPr>
            <w:r>
              <w:t xml:space="preserve">10</w:t>
            </w:r>
          </w:p>
        </w:tc>
      </w:tr>
      <w:tr>
        <w:tc>
          <w:tcPr/>
          <w:p>
            <w:pPr>
              <w:pStyle w:val="Compact"/>
            </w:pPr>
            <w:r>
              <w:rPr>
                <w:b/>
                <w:bCs/>
              </w:rPr>
              <w:t xml:space="preserve">Series total (distinct)</w:t>
            </w:r>
          </w:p>
        </w:tc>
        <w:tc>
          <w:tcPr/>
          <w:p>
            <w:pPr>
              <w:pStyle w:val="Compact"/>
            </w:pPr>
            <w:r>
              <w:rPr>
                <w:b/>
                <w:bCs/>
              </w:rPr>
              <w:t xml:space="preserve">149</w:t>
            </w:r>
          </w:p>
        </w:tc>
      </w:tr>
    </w:tbl>
    <w:p>
      <w:pPr>
        <w:pStyle w:val="BodyText"/>
      </w:pPr>
      <w:r>
        <w:t xml:space="preserve">Volumes VII–IX raise the</w:t>
      </w:r>
      <w:r>
        <w:t xml:space="preserve"> </w:t>
      </w:r>
      <w:r>
        <w:rPr>
          <w:i/>
          <w:iCs/>
        </w:rPr>
        <w:t xml:space="preserve">per-volume</w:t>
      </w:r>
      <w:r>
        <w:t xml:space="preserve"> </w:t>
      </w:r>
      <w:r>
        <w:t xml:space="preserve">counts above but add only four new distinct</w:t>
      </w:r>
      <w:r>
        <w:t xml:space="preserve"> </w:t>
      </w:r>
      <w:r>
        <w:t xml:space="preserve">controls to the series total (</w:t>
      </w:r>
      <w:r>
        <w:rPr>
          <w:b/>
          <w:bCs/>
        </w:rPr>
        <w:t xml:space="preserve">CM-5</w:t>
      </w:r>
      <w:r>
        <w:t xml:space="preserve"> </w:t>
      </w:r>
      <w:r>
        <w:t xml:space="preserve">plus AC-2(3), AC-2(4), SA-9(2)): their closures overwhelmingly coordinate</w:t>
      </w:r>
      <w:r>
        <w:t xml:space="preserve"> </w:t>
      </w:r>
      <w:r>
        <w:t xml:space="preserve">and operate controls the architecture volumes already close (CM-2/3/6/8, CA-2/5/7,</w:t>
      </w:r>
      <w:r>
        <w:t xml:space="preserve"> </w:t>
      </w:r>
      <w:r>
        <w:t xml:space="preserve">AC-2/6, IA-5, IA-5(2), SC-17/20/22, SI-2, RA-5, AU-2), reconciled to the CM-8 join</w:t>
      </w:r>
      <w:r>
        <w:t xml:space="preserve"> </w:t>
      </w:r>
      <w:r>
        <w:t xml:space="preserve">key. The series total moved from 146 to 149 as the Vol VII SaaS-integration enhancements (AC-2(3), AC-2(4), SA-9(2)) were folded in.</w:t>
      </w:r>
    </w:p>
    <w:bookmarkEnd w:id="118"/>
    <w:bookmarkStart w:id="119" w:name="fedramp-20x-ksi-view"/>
    <w:p>
      <w:pPr>
        <w:pStyle w:val="Heading1"/>
      </w:pPr>
      <w:r>
        <w:t xml:space="preserve">FedRAMP 20x KSI View</w:t>
      </w:r>
    </w:p>
    <w:p>
      <w:pPr>
        <w:pStyle w:val="FirstParagraph"/>
      </w:pPr>
      <w:r>
        <w:t xml:space="preserve">Where a book maps a control to a FedRAMP 20x Key Security Indicator, those associations are aggregated here. Absence of a KSI in this view means no book stated a per-control KSI mapping — not that the control is unmapped in FedRAMP 20x.</w:t>
      </w:r>
    </w:p>
    <w:p>
      <w:pPr>
        <w:pStyle w:val="TableCaption"/>
      </w:pPr>
      <w:r>
        <w:t xml:space="preserve">FedRAMP 20x Key Security Indicator → contributing controls</w:t>
      </w:r>
    </w:p>
    <w:tbl>
      <w:tblPr>
        <w:tblStyle w:val="Table"/>
        <w:tblW w:type="pct" w:w="5000"/>
        <w:tblLayout w:type="fixed"/>
        <w:tblLook w:firstRow="1" w:lastRow="0" w:firstColumn="0" w:lastColumn="0" w:noHBand="0" w:noVBand="0" w:val="0020"/>
        <w:tblCaption w:val="FedRAMP 20x Key Security Indicator → contributing controls"/>
      </w:tblPr>
      <w:tblGrid>
        <w:gridCol w:w="3960"/>
        <w:gridCol w:w="3960"/>
      </w:tblGrid>
      <w:tr>
        <w:trPr>
          <w:tblHeader w:val="on"/>
        </w:trPr>
        <w:tc>
          <w:tcPr/>
          <w:p>
            <w:pPr>
              <w:pStyle w:val="Compact"/>
            </w:pPr>
            <w:r>
              <w:t xml:space="preserve">FedRAMP 20x KSI</w:t>
            </w:r>
          </w:p>
        </w:tc>
        <w:tc>
          <w:tcPr/>
          <w:p>
            <w:pPr>
              <w:pStyle w:val="Compact"/>
            </w:pPr>
            <w:r>
              <w:t xml:space="preserve">Controls mapped</w:t>
            </w:r>
          </w:p>
        </w:tc>
      </w:tr>
      <w:tr>
        <w:tc>
          <w:tcPr/>
          <w:p>
            <w:pPr>
              <w:pStyle w:val="Compact"/>
            </w:pPr>
            <w:r>
              <w:rPr>
                <w:b/>
                <w:bCs/>
              </w:rPr>
              <w:t xml:space="preserve">KSI-022</w:t>
            </w:r>
          </w:p>
        </w:tc>
        <w:tc>
          <w:tcPr/>
          <w:p>
            <w:pPr>
              <w:pStyle w:val="Compact"/>
            </w:pPr>
            <w:r>
              <w:t xml:space="preserve">AT-2, AT-3, AT-4, CP-3, IR-2</w:t>
            </w:r>
          </w:p>
        </w:tc>
      </w:tr>
      <w:tr>
        <w:tc>
          <w:tcPr/>
          <w:p>
            <w:pPr>
              <w:pStyle w:val="Compact"/>
            </w:pPr>
            <w:r>
              <w:rPr>
                <w:b/>
                <w:bCs/>
              </w:rPr>
              <w:t xml:space="preserve">KSI-CMT</w:t>
            </w:r>
          </w:p>
        </w:tc>
        <w:tc>
          <w:tcPr/>
          <w:p>
            <w:pPr>
              <w:pStyle w:val="Compact"/>
            </w:pPr>
            <w:r>
              <w:t xml:space="preserve">CM-2, CM-3, CM-6</w:t>
            </w:r>
          </w:p>
        </w:tc>
      </w:tr>
      <w:tr>
        <w:tc>
          <w:tcPr/>
          <w:p>
            <w:pPr>
              <w:pStyle w:val="Compact"/>
            </w:pPr>
            <w:r>
              <w:rPr>
                <w:b/>
                <w:bCs/>
              </w:rPr>
              <w:t xml:space="preserve">KSI-CNA</w:t>
            </w:r>
          </w:p>
        </w:tc>
        <w:tc>
          <w:tcPr/>
          <w:p>
            <w:pPr>
              <w:pStyle w:val="Compact"/>
            </w:pPr>
            <w:r>
              <w:t xml:space="preserve">AC-4, AC-17, SC-7, SC-7(8), SC-8, SC-8(1), SC-20, SC-22</w:t>
            </w:r>
          </w:p>
        </w:tc>
      </w:tr>
      <w:tr>
        <w:tc>
          <w:tcPr/>
          <w:p>
            <w:pPr>
              <w:pStyle w:val="Compact"/>
            </w:pPr>
            <w:r>
              <w:rPr>
                <w:b/>
                <w:bCs/>
              </w:rPr>
              <w:t xml:space="preserve">KSI-IAM</w:t>
            </w:r>
          </w:p>
        </w:tc>
        <w:tc>
          <w:tcPr/>
          <w:p>
            <w:pPr>
              <w:pStyle w:val="Compact"/>
            </w:pPr>
            <w:r>
              <w:t xml:space="preserve">AC-2, AC-6, AC-19, AC-20, CM-5, IA-3, IA-5, IA-5(2), SC-17</w:t>
            </w:r>
          </w:p>
        </w:tc>
      </w:tr>
      <w:tr>
        <w:tc>
          <w:tcPr/>
          <w:p>
            <w:pPr>
              <w:pStyle w:val="Compact"/>
            </w:pPr>
            <w:r>
              <w:rPr>
                <w:b/>
                <w:bCs/>
              </w:rPr>
              <w:t xml:space="preserve">KSI-MLA</w:t>
            </w:r>
          </w:p>
        </w:tc>
        <w:tc>
          <w:tcPr/>
          <w:p>
            <w:pPr>
              <w:pStyle w:val="Compact"/>
            </w:pPr>
            <w:r>
              <w:t xml:space="preserve">AU-2, AU-3, AU-6(1), AU-12, AU-12(1), CA-2, CA-5, CA-7, RA-5, SI-2, SI-2(2), SI-3, SI-4, SI-4(16)</w:t>
            </w:r>
          </w:p>
        </w:tc>
      </w:tr>
      <w:tr>
        <w:tc>
          <w:tcPr/>
          <w:p>
            <w:pPr>
              <w:pStyle w:val="Compact"/>
            </w:pPr>
            <w:r>
              <w:rPr>
                <w:b/>
                <w:bCs/>
              </w:rPr>
              <w:t xml:space="preserve">KSI-PIY</w:t>
            </w:r>
          </w:p>
        </w:tc>
        <w:tc>
          <w:tcPr/>
          <w:p>
            <w:pPr>
              <w:pStyle w:val="Compact"/>
            </w:pPr>
            <w:r>
              <w:t xml:space="preserve">CA-3, CM-8</w:t>
            </w:r>
          </w:p>
        </w:tc>
      </w:tr>
      <w:tr>
        <w:tc>
          <w:tcPr/>
          <w:p>
            <w:pPr>
              <w:pStyle w:val="Compact"/>
            </w:pPr>
            <w:r>
              <w:rPr>
                <w:b/>
                <w:bCs/>
              </w:rPr>
              <w:t xml:space="preserve">KSI-SCR</w:t>
            </w:r>
          </w:p>
        </w:tc>
        <w:tc>
          <w:tcPr/>
          <w:p>
            <w:pPr>
              <w:pStyle w:val="Compact"/>
            </w:pPr>
            <w:r>
              <w:t xml:space="preserve">SA-9, SA-9(2)</w:t>
            </w:r>
          </w:p>
        </w:tc>
      </w:tr>
      <w:tr>
        <w:tc>
          <w:tcPr/>
          <w:p>
            <w:pPr>
              <w:pStyle w:val="Compact"/>
            </w:pPr>
            <w:r>
              <w:rPr>
                <w:b/>
                <w:bCs/>
              </w:rPr>
              <w:t xml:space="preserve">KSI-SVC</w:t>
            </w:r>
          </w:p>
        </w:tc>
        <w:tc>
          <w:tcPr/>
          <w:p>
            <w:pPr>
              <w:pStyle w:val="Compact"/>
            </w:pPr>
            <w:r>
              <w:t xml:space="preserve">CM-6, CM-7, SA-11, SI-2, SI-2(2), SI-2(3)</w:t>
            </w:r>
          </w:p>
        </w:tc>
      </w:tr>
    </w:tbl>
    <w:p>
      <w:pPr>
        <w:pStyle w:val="BodyText"/>
      </w:pPr>
      <w:r>
        <w:t xml:space="preserve">The Volume VII/VIII/IX closures widen several themes:</w:t>
      </w:r>
      <w:r>
        <w:t xml:space="preserve"> </w:t>
      </w:r>
      <w:r>
        <w:rPr>
          <w:b/>
          <w:bCs/>
        </w:rPr>
        <w:t xml:space="preserve">KSI-CMT</w:t>
      </w:r>
      <w:r>
        <w:t xml:space="preserve"> </w:t>
      </w:r>
      <w:r>
        <w:t xml:space="preserve">gains CM-3</w:t>
      </w:r>
      <w:r>
        <w:t xml:space="preserve"> </w:t>
      </w:r>
      <w:r>
        <w:t xml:space="preserve">(change-controlled configuration),</w:t>
      </w:r>
      <w:r>
        <w:t xml:space="preserve"> </w:t>
      </w:r>
      <w:r>
        <w:rPr>
          <w:b/>
          <w:bCs/>
        </w:rPr>
        <w:t xml:space="preserve">KSI-CNA</w:t>
      </w:r>
      <w:r>
        <w:t xml:space="preserve"> </w:t>
      </w:r>
      <w:r>
        <w:t xml:space="preserve">gains the multi-cloud DDI naming</w:t>
      </w:r>
      <w:r>
        <w:t xml:space="preserve"> </w:t>
      </w:r>
      <w:r>
        <w:t xml:space="preserve">controls (SC-20, SC-22),</w:t>
      </w:r>
      <w:r>
        <w:t xml:space="preserve"> </w:t>
      </w:r>
      <w:r>
        <w:rPr>
          <w:b/>
          <w:bCs/>
        </w:rPr>
        <w:t xml:space="preserve">KSI-IAM</w:t>
      </w:r>
      <w:r>
        <w:t xml:space="preserve"> </w:t>
      </w:r>
      <w:r>
        <w:t xml:space="preserve">gains the identity/least-privilege and</w:t>
      </w:r>
      <w:r>
        <w:t xml:space="preserve"> </w:t>
      </w:r>
      <w:r>
        <w:t xml:space="preserve">credential-lifecycle controls the ServiceNow catalog governs (AC-2, AC-6, IA-5,</w:t>
      </w:r>
      <w:r>
        <w:t xml:space="preserve"> </w:t>
      </w:r>
      <w:r>
        <w:t xml:space="preserve">IA-5(2), SC-17, and the new CM-5 SoD gate),</w:t>
      </w:r>
      <w:r>
        <w:t xml:space="preserve"> </w:t>
      </w:r>
      <w:r>
        <w:rPr>
          <w:b/>
          <w:bCs/>
        </w:rPr>
        <w:t xml:space="preserve">KSI-MLA</w:t>
      </w:r>
      <w:r>
        <w:t xml:space="preserve"> </w:t>
      </w:r>
      <w:r>
        <w:t xml:space="preserve">gains the attestation and</w:t>
      </w:r>
      <w:r>
        <w:t xml:space="preserve"> </w:t>
      </w:r>
      <w:r>
        <w:t xml:space="preserve">telephony/DDI audit controls (CA-2, CA-5, AU-2), and</w:t>
      </w:r>
      <w:r>
        <w:t xml:space="preserve"> </w:t>
      </w:r>
      <w:r>
        <w:rPr>
          <w:b/>
          <w:bCs/>
        </w:rPr>
        <w:t xml:space="preserve">KSI-PIY</w:t>
      </w:r>
      <w:r>
        <w:t xml:space="preserve"> </w:t>
      </w:r>
      <w:r>
        <w:t xml:space="preserve">(asset</w:t>
      </w:r>
      <w:r>
        <w:t xml:space="preserve"> </w:t>
      </w:r>
      <w:r>
        <w:t xml:space="preserve">inventory / provenance) draws on the CM-8 join-key reconciliation and the CA-3</w:t>
      </w:r>
      <w:r>
        <w:t xml:space="preserve"> </w:t>
      </w:r>
      <w:r>
        <w:t xml:space="preserve">information-exchange mapping that run through Volumes VII, VIII, and IX.</w:t>
      </w:r>
    </w:p>
    <w:bookmarkEnd w:id="119"/>
    <w:bookmarkStart w:id="120" w:name="notes-and-caveats"/>
    <w:p>
      <w:pPr>
        <w:pStyle w:val="Heading1"/>
      </w:pPr>
      <w:r>
        <w:t xml:space="preserve">Notes and Caveats</w:t>
      </w:r>
    </w:p>
    <w:p>
      <w:pPr>
        <w:pStyle w:val="Compact"/>
        <w:numPr>
          <w:ilvl w:val="0"/>
          <w:numId w:val="1028"/>
        </w:numPr>
      </w:pPr>
      <w:r>
        <w:t xml:space="preserve">A control addressed in multiple books is intentional: the series separates</w:t>
      </w:r>
      <w:r>
        <w:t xml:space="preserve"> </w:t>
      </w:r>
      <w:r>
        <w:t xml:space="preserve">architecture (closure) from implementation (Volume VI) and, in a few families,</w:t>
      </w:r>
      <w:r>
        <w:t xml:space="preserve"> </w:t>
      </w:r>
      <w:r>
        <w:t xml:space="preserve">layers edge, host, and cloud-plane treatments across different books.</w:t>
      </w:r>
    </w:p>
    <w:p>
      <w:pPr>
        <w:pStyle w:val="Compact"/>
        <w:numPr>
          <w:ilvl w:val="0"/>
          <w:numId w:val="1028"/>
        </w:numPr>
      </w:pPr>
      <w:r>
        <w:t xml:space="preserve">Enhancement rows (e.g. AC-6(9)) appear separately only where a book cites the</w:t>
      </w:r>
      <w:r>
        <w:t xml:space="preserve"> </w:t>
      </w:r>
      <w:r>
        <w:t xml:space="preserve">enhancement specifically; otherwise coverage is recorded at the base control.</w:t>
      </w:r>
    </w:p>
    <w:p>
      <w:pPr>
        <w:pStyle w:val="Compact"/>
        <w:numPr>
          <w:ilvl w:val="0"/>
          <w:numId w:val="1028"/>
        </w:numPr>
      </w:pPr>
      <w:r>
        <w:t xml:space="preserve">This index reflects the series as of the Date Code above. Regenerate it after any</w:t>
      </w:r>
      <w:r>
        <w:t xml:space="preserve"> </w:t>
      </w:r>
      <w:r>
        <w:t xml:space="preserve">book’s control tables change by re-running the extraction and merge, then</w:t>
      </w:r>
      <w:r>
        <w:t xml:space="preserve"> </w:t>
      </w:r>
      <w:r>
        <w:t xml:space="preserve">re-rendering this appendix.</w:t>
      </w:r>
    </w:p>
    <w:bookmarkEnd w:id="120"/>
    <w:bookmarkStart w:id="121" w:name="X16f9844d438bd79dd5837db080242a20cb4fa95"/>
    <w:p>
      <w:pPr>
        <w:pStyle w:val="Heading1"/>
      </w:pPr>
      <w:r>
        <w:t xml:space="preserve">Appendix — Controls Addressed but Not Yet Closed in the Spine</w:t>
      </w:r>
    </w:p>
    <w:p>
      <w:pPr>
        <w:pStyle w:val="FirstParagraph"/>
      </w:pPr>
      <w:r>
        <w:t xml:space="preserve">Of the</w:t>
      </w:r>
      <w:r>
        <w:t xml:space="preserve"> </w:t>
      </w:r>
      <w:r>
        <w:rPr>
          <w:b/>
          <w:bCs/>
        </w:rPr>
        <w:t xml:space="preserve">149 controls</w:t>
      </w:r>
      <w:r>
        <w:t xml:space="preserve"> </w:t>
      </w:r>
      <w:r>
        <w:t xml:space="preserve">this master table indexes, the compliance spine carries a machine-checked closure for</w:t>
      </w:r>
      <w:r>
        <w:t xml:space="preserve"> </w:t>
      </w:r>
      <w:r>
        <w:rPr>
          <w:b/>
          <w:bCs/>
        </w:rPr>
        <w:t xml:space="preserve">53</w:t>
      </w:r>
      <w:r>
        <w:t xml:space="preserve">. The</w:t>
      </w:r>
      <w:r>
        <w:t xml:space="preserve"> </w:t>
      </w:r>
      <w:r>
        <w:rPr>
          <w:b/>
          <w:bCs/>
        </w:rPr>
        <w:t xml:space="preserve">96</w:t>
      </w:r>
      <w:r>
        <w:t xml:space="preserve"> </w:t>
      </w:r>
      <w:r>
        <w:t xml:space="preserve">below are addressed somewhere in the series but have</w:t>
      </w:r>
      <w:r>
        <w:t xml:space="preserve"> </w:t>
      </w:r>
      <w:r>
        <w:rPr>
          <w:b/>
          <w:bCs/>
        </w:rPr>
        <w:t xml:space="preserve">no spine closure yet</w:t>
      </w:r>
      <w:r>
        <w:t xml:space="preserve"> </w:t>
      </w:r>
      <w:r>
        <w:t xml:space="preserve">— no generated authorities row, no evidence slot, no KSI binding, and nothing for the drift gate to check. They are the back-fill queue.</w:t>
      </w:r>
    </w:p>
    <w:p>
      <w:pPr>
        <w:pStyle w:val="BlockText"/>
      </w:pPr>
      <w:r>
        <w:rPr>
          <w:b/>
          <w:bCs/>
        </w:rPr>
        <w:t xml:space="preserve">What this table is not.</w:t>
      </w:r>
      <w:r>
        <w:t xml:space="preserve"> </w:t>
      </w:r>
      <w:r>
        <w:t xml:space="preserve">It is the difference between this book’s hand-maintained index and the spine —</w:t>
      </w:r>
      <w:r>
        <w:t xml:space="preserve"> </w:t>
      </w:r>
      <w:r>
        <w:rPr>
          <w:b/>
          <w:bCs/>
        </w:rPr>
        <w:t xml:space="preserve">not</w:t>
      </w:r>
      <w:r>
        <w:t xml:space="preserve"> </w:t>
      </w:r>
      <w:r>
        <w:t xml:space="preserve">a gap analysis against the FedRAMP Moderate baseline. A control absent from</w:t>
      </w:r>
      <w:r>
        <w:t xml:space="preserve"> </w:t>
      </w:r>
      <w:r>
        <w:rPr>
          <w:i/>
          <w:iCs/>
        </w:rPr>
        <w:t xml:space="preserve">both</w:t>
      </w:r>
      <w:r>
        <w:t xml:space="preserve"> </w:t>
      </w:r>
      <w:r>
        <w:t xml:space="preserve">is invisible here: the series does not carry an authoritative Moderate control list, so</w:t>
      </w:r>
      <w:r>
        <w:t xml:space="preserve"> </w:t>
      </w:r>
      <w:r>
        <w:t xml:space="preserve">“addressed nowhere”</w:t>
      </w:r>
      <w:r>
        <w:t xml:space="preserve"> </w:t>
      </w:r>
      <w:r>
        <w:t xml:space="preserve">cannot be enumerated from repo data. Read this as</w:t>
      </w:r>
      <w:r>
        <w:t xml:space="preserve"> </w:t>
      </w:r>
      <w:r>
        <w:rPr>
          <w:i/>
          <w:iCs/>
        </w:rPr>
        <w:t xml:space="preserve">“claimed in prose, not yet proven by the spine”</w:t>
      </w:r>
      <w:r>
        <w:t xml:space="preserve"> </w:t>
      </w:r>
      <w:r>
        <w:t xml:space="preserve">— the larger question of baseline completeness is the SSP’s, and is open (see the Vol 0 Book 00 residual-risk section).</w:t>
      </w:r>
    </w:p>
    <w:p>
      <w:pPr>
        <w:pStyle w:val="TableCaption"/>
      </w:pPr>
      <w:r>
        <w:t xml:space="preserve">Not-yet-closed controls by family</w:t>
      </w:r>
    </w:p>
    <w:tbl>
      <w:tblPr>
        <w:tblStyle w:val="Table"/>
        <w:tblW w:type="auto" w:w="0"/>
        <w:tblLook w:firstRow="1" w:lastRow="0" w:firstColumn="0" w:lastColumn="0" w:noHBand="0" w:noVBand="0" w:val="0020"/>
        <w:tblCaption w:val="Not-yet-closed controls by family"/>
      </w:tblPr>
      <w:tblGrid>
        <w:gridCol w:w="3960"/>
        <w:gridCol w:w="3960"/>
      </w:tblGrid>
      <w:tr>
        <w:trPr>
          <w:tblHeader w:val="on"/>
        </w:trPr>
        <w:tc>
          <w:tcPr/>
          <w:p>
            <w:pPr>
              <w:pStyle w:val="Compact"/>
            </w:pPr>
            <w:r>
              <w:t xml:space="preserve">Family</w:t>
            </w:r>
          </w:p>
        </w:tc>
        <w:tc>
          <w:tcPr/>
          <w:p>
            <w:pPr>
              <w:pStyle w:val="Compact"/>
            </w:pPr>
            <w:r>
              <w:t xml:space="preserve">Not yet closed</w:t>
            </w:r>
          </w:p>
        </w:tc>
      </w:tr>
      <w:tr>
        <w:tc>
          <w:tcPr/>
          <w:p>
            <w:pPr>
              <w:pStyle w:val="Compact"/>
            </w:pPr>
            <w:r>
              <w:t xml:space="preserve">AC</w:t>
            </w:r>
          </w:p>
        </w:tc>
        <w:tc>
          <w:tcPr/>
          <w:p>
            <w:pPr>
              <w:pStyle w:val="Compact"/>
            </w:pPr>
            <w:r>
              <w:t xml:space="preserve">9</w:t>
            </w:r>
          </w:p>
        </w:tc>
      </w:tr>
      <w:tr>
        <w:tc>
          <w:tcPr/>
          <w:p>
            <w:pPr>
              <w:pStyle w:val="Compact"/>
            </w:pPr>
            <w:r>
              <w:t xml:space="preserve">AT</w:t>
            </w:r>
          </w:p>
        </w:tc>
        <w:tc>
          <w:tcPr/>
          <w:p>
            <w:pPr>
              <w:pStyle w:val="Compact"/>
            </w:pPr>
            <w:r>
              <w:t xml:space="preserve">7</w:t>
            </w:r>
          </w:p>
        </w:tc>
      </w:tr>
      <w:tr>
        <w:tc>
          <w:tcPr/>
          <w:p>
            <w:pPr>
              <w:pStyle w:val="Compact"/>
            </w:pPr>
            <w:r>
              <w:t xml:space="preserve">AU</w:t>
            </w:r>
          </w:p>
        </w:tc>
        <w:tc>
          <w:tcPr/>
          <w:p>
            <w:pPr>
              <w:pStyle w:val="Compact"/>
            </w:pPr>
            <w:r>
              <w:t xml:space="preserve">6</w:t>
            </w:r>
          </w:p>
        </w:tc>
      </w:tr>
      <w:tr>
        <w:tc>
          <w:tcPr/>
          <w:p>
            <w:pPr>
              <w:pStyle w:val="Compact"/>
            </w:pPr>
            <w:r>
              <w:t xml:space="preserve">CA</w:t>
            </w:r>
          </w:p>
        </w:tc>
        <w:tc>
          <w:tcPr/>
          <w:p>
            <w:pPr>
              <w:pStyle w:val="Compact"/>
            </w:pPr>
            <w:r>
              <w:t xml:space="preserve">3</w:t>
            </w:r>
          </w:p>
        </w:tc>
      </w:tr>
      <w:tr>
        <w:tc>
          <w:tcPr/>
          <w:p>
            <w:pPr>
              <w:pStyle w:val="Compact"/>
            </w:pPr>
            <w:r>
              <w:t xml:space="preserve">CM</w:t>
            </w:r>
          </w:p>
        </w:tc>
        <w:tc>
          <w:tcPr/>
          <w:p>
            <w:pPr>
              <w:pStyle w:val="Compact"/>
            </w:pPr>
            <w:r>
              <w:t xml:space="preserve">1</w:t>
            </w:r>
          </w:p>
        </w:tc>
      </w:tr>
      <w:tr>
        <w:tc>
          <w:tcPr/>
          <w:p>
            <w:pPr>
              <w:pStyle w:val="Compact"/>
            </w:pPr>
            <w:r>
              <w:t xml:space="preserve">CP</w:t>
            </w:r>
          </w:p>
        </w:tc>
        <w:tc>
          <w:tcPr/>
          <w:p>
            <w:pPr>
              <w:pStyle w:val="Compact"/>
            </w:pPr>
            <w:r>
              <w:t xml:space="preserve">15</w:t>
            </w:r>
          </w:p>
        </w:tc>
      </w:tr>
      <w:tr>
        <w:tc>
          <w:tcPr/>
          <w:p>
            <w:pPr>
              <w:pStyle w:val="Compact"/>
            </w:pPr>
            <w:r>
              <w:t xml:space="preserve">IA</w:t>
            </w:r>
          </w:p>
        </w:tc>
        <w:tc>
          <w:tcPr/>
          <w:p>
            <w:pPr>
              <w:pStyle w:val="Compact"/>
            </w:pPr>
            <w:r>
              <w:t xml:space="preserve">6</w:t>
            </w:r>
          </w:p>
        </w:tc>
      </w:tr>
      <w:tr>
        <w:tc>
          <w:tcPr/>
          <w:p>
            <w:pPr>
              <w:pStyle w:val="Compact"/>
            </w:pPr>
            <w:r>
              <w:t xml:space="preserve">IR</w:t>
            </w:r>
          </w:p>
        </w:tc>
        <w:tc>
          <w:tcPr/>
          <w:p>
            <w:pPr>
              <w:pStyle w:val="Compact"/>
            </w:pPr>
            <w:r>
              <w:t xml:space="preserve">4</w:t>
            </w:r>
          </w:p>
        </w:tc>
      </w:tr>
      <w:tr>
        <w:tc>
          <w:tcPr/>
          <w:p>
            <w:pPr>
              <w:pStyle w:val="Compact"/>
            </w:pPr>
            <w:r>
              <w:t xml:space="preserve">MP</w:t>
            </w:r>
          </w:p>
        </w:tc>
        <w:tc>
          <w:tcPr/>
          <w:p>
            <w:pPr>
              <w:pStyle w:val="Compact"/>
            </w:pPr>
            <w:r>
              <w:t xml:space="preserve">4</w:t>
            </w:r>
          </w:p>
        </w:tc>
      </w:tr>
      <w:tr>
        <w:tc>
          <w:tcPr/>
          <w:p>
            <w:pPr>
              <w:pStyle w:val="Compact"/>
            </w:pPr>
            <w:r>
              <w:t xml:space="preserve">PL</w:t>
            </w:r>
          </w:p>
        </w:tc>
        <w:tc>
          <w:tcPr/>
          <w:p>
            <w:pPr>
              <w:pStyle w:val="Compact"/>
            </w:pPr>
            <w:r>
              <w:t xml:space="preserve">1</w:t>
            </w:r>
          </w:p>
        </w:tc>
      </w:tr>
      <w:tr>
        <w:tc>
          <w:tcPr/>
          <w:p>
            <w:pPr>
              <w:pStyle w:val="Compact"/>
            </w:pPr>
            <w:r>
              <w:t xml:space="preserve">PM</w:t>
            </w:r>
          </w:p>
        </w:tc>
        <w:tc>
          <w:tcPr/>
          <w:p>
            <w:pPr>
              <w:pStyle w:val="Compact"/>
            </w:pPr>
            <w:r>
              <w:t xml:space="preserve">9</w:t>
            </w:r>
          </w:p>
        </w:tc>
      </w:tr>
      <w:tr>
        <w:tc>
          <w:tcPr/>
          <w:p>
            <w:pPr>
              <w:pStyle w:val="Compact"/>
            </w:pPr>
            <w:r>
              <w:t xml:space="preserve">PT</w:t>
            </w:r>
          </w:p>
        </w:tc>
        <w:tc>
          <w:tcPr/>
          <w:p>
            <w:pPr>
              <w:pStyle w:val="Compact"/>
            </w:pPr>
            <w:r>
              <w:t xml:space="preserve">6</w:t>
            </w:r>
          </w:p>
        </w:tc>
      </w:tr>
      <w:tr>
        <w:tc>
          <w:tcPr/>
          <w:p>
            <w:pPr>
              <w:pStyle w:val="Compact"/>
            </w:pPr>
            <w:r>
              <w:t xml:space="preserve">RA</w:t>
            </w:r>
          </w:p>
        </w:tc>
        <w:tc>
          <w:tcPr/>
          <w:p>
            <w:pPr>
              <w:pStyle w:val="Compact"/>
            </w:pPr>
            <w:r>
              <w:t xml:space="preserve">3</w:t>
            </w:r>
          </w:p>
        </w:tc>
      </w:tr>
      <w:tr>
        <w:tc>
          <w:tcPr/>
          <w:p>
            <w:pPr>
              <w:pStyle w:val="Compact"/>
            </w:pPr>
            <w:r>
              <w:t xml:space="preserve">SA</w:t>
            </w:r>
          </w:p>
        </w:tc>
        <w:tc>
          <w:tcPr/>
          <w:p>
            <w:pPr>
              <w:pStyle w:val="Compact"/>
            </w:pPr>
            <w:r>
              <w:t xml:space="preserve">2</w:t>
            </w:r>
          </w:p>
        </w:tc>
      </w:tr>
      <w:tr>
        <w:tc>
          <w:tcPr/>
          <w:p>
            <w:pPr>
              <w:pStyle w:val="Compact"/>
            </w:pPr>
            <w:r>
              <w:t xml:space="preserve">SC</w:t>
            </w:r>
          </w:p>
        </w:tc>
        <w:tc>
          <w:tcPr/>
          <w:p>
            <w:pPr>
              <w:pStyle w:val="Compact"/>
            </w:pPr>
            <w:r>
              <w:t xml:space="preserve">8</w:t>
            </w:r>
          </w:p>
        </w:tc>
      </w:tr>
      <w:tr>
        <w:tc>
          <w:tcPr/>
          <w:p>
            <w:pPr>
              <w:pStyle w:val="Compact"/>
            </w:pPr>
            <w:r>
              <w:t xml:space="preserve">SI</w:t>
            </w:r>
          </w:p>
        </w:tc>
        <w:tc>
          <w:tcPr/>
          <w:p>
            <w:pPr>
              <w:pStyle w:val="Compact"/>
            </w:pPr>
            <w:r>
              <w:t xml:space="preserve">4</w:t>
            </w:r>
          </w:p>
        </w:tc>
      </w:tr>
      <w:tr>
        <w:tc>
          <w:tcPr/>
          <w:p>
            <w:pPr>
              <w:pStyle w:val="Compact"/>
            </w:pPr>
            <w:r>
              <w:t xml:space="preserve">SR</w:t>
            </w:r>
          </w:p>
        </w:tc>
        <w:tc>
          <w:tcPr/>
          <w:p>
            <w:pPr>
              <w:pStyle w:val="Compact"/>
            </w:pPr>
            <w:r>
              <w:t xml:space="preserve">8</w:t>
            </w:r>
          </w:p>
        </w:tc>
      </w:tr>
      <w:tr>
        <w:tc>
          <w:tcPr/>
          <w:p>
            <w:pPr>
              <w:pStyle w:val="Compact"/>
            </w:pPr>
            <w:r>
              <w:rPr>
                <w:b/>
                <w:bCs/>
              </w:rPr>
              <w:t xml:space="preserve">Total</w:t>
            </w:r>
          </w:p>
        </w:tc>
        <w:tc>
          <w:tcPr/>
          <w:p>
            <w:pPr>
              <w:pStyle w:val="Compact"/>
            </w:pPr>
            <w:r>
              <w:rPr>
                <w:b/>
                <w:bCs/>
              </w:rPr>
              <w:t xml:space="preserve">96</w:t>
            </w:r>
          </w:p>
        </w:tc>
      </w:tr>
    </w:tbl>
    <w:p/>
    <w:p>
      <w:pPr>
        <w:pStyle w:val="TableCaption"/>
      </w:pPr>
      <w:r>
        <w:t xml:space="preserve">Controls addressed in the series with no spine closure yet — the back-fill queue</w:t>
      </w:r>
    </w:p>
    <w:tbl>
      <w:tblPr>
        <w:tblStyle w:val="Table"/>
        <w:tblW w:type="pct" w:w="5000"/>
        <w:tblLayout w:type="fixed"/>
        <w:tblLook w:firstRow="1" w:lastRow="0" w:firstColumn="0" w:lastColumn="0" w:noHBand="0" w:noVBand="0" w:val="0020"/>
        <w:tblCaption w:val="Controls addressed in the series with no spine closure yet — the back-fill queue"/>
      </w:tblPr>
      <w:tblGrid>
        <w:gridCol w:w="1980"/>
        <w:gridCol w:w="1980"/>
        <w:gridCol w:w="1980"/>
        <w:gridCol w:w="1980"/>
      </w:tblGrid>
      <w:tr>
        <w:trPr>
          <w:tblHeader w:val="on"/>
        </w:trPr>
        <w:tc>
          <w:tcPr/>
          <w:p>
            <w:pPr>
              <w:pStyle w:val="Compact"/>
            </w:pPr>
            <w:r>
              <w:t xml:space="preserve">Control</w:t>
            </w:r>
          </w:p>
        </w:tc>
        <w:tc>
          <w:tcPr/>
          <w:p>
            <w:pPr>
              <w:pStyle w:val="Compact"/>
            </w:pPr>
            <w:r>
              <w:t xml:space="preserve">Title</w:t>
            </w:r>
          </w:p>
        </w:tc>
        <w:tc>
          <w:tcPr/>
          <w:p>
            <w:pPr>
              <w:pStyle w:val="Compact"/>
            </w:pPr>
            <w:r>
              <w:t xml:space="preserve">Family</w:t>
            </w:r>
          </w:p>
        </w:tc>
        <w:tc>
          <w:tcPr/>
          <w:p>
            <w:pPr>
              <w:pStyle w:val="Compact"/>
            </w:pPr>
            <w:r>
              <w:t xml:space="preserve">Addressed in (this book’s index)</w:t>
            </w:r>
          </w:p>
        </w:tc>
      </w:tr>
      <w:tr>
        <w:tc>
          <w:tcPr/>
          <w:p>
            <w:pPr>
              <w:pStyle w:val="Compact"/>
            </w:pPr>
            <w:r>
              <w:t xml:space="preserve">AC-2(13)</w:t>
            </w:r>
          </w:p>
        </w:tc>
        <w:tc>
          <w:tcPr/>
          <w:p>
            <w:pPr>
              <w:pStyle w:val="Compact"/>
            </w:pPr>
            <w:r>
              <w:t xml:space="preserve">Account Management — Disable Accounts for High-Risk Individuals</w:t>
            </w:r>
          </w:p>
        </w:tc>
        <w:tc>
          <w:tcPr/>
          <w:p>
            <w:pPr>
              <w:pStyle w:val="Compact"/>
            </w:pPr>
            <w:r>
              <w:t xml:space="preserve">AC</w:t>
            </w:r>
          </w:p>
        </w:tc>
        <w:tc>
          <w:tcPr/>
          <w:p>
            <w:pPr>
              <w:pStyle w:val="Compact"/>
            </w:pPr>
            <w:r>
              <w:t xml:space="preserve">Vol VI Bk 04</w:t>
            </w:r>
          </w:p>
        </w:tc>
      </w:tr>
      <w:tr>
        <w:tc>
          <w:tcPr/>
          <w:p>
            <w:pPr>
              <w:pStyle w:val="Compact"/>
            </w:pPr>
            <w:r>
              <w:t xml:space="preserve">AC-6(1)</w:t>
            </w:r>
          </w:p>
        </w:tc>
        <w:tc>
          <w:tcPr/>
          <w:p>
            <w:pPr>
              <w:pStyle w:val="Compact"/>
            </w:pPr>
            <w:r>
              <w:t xml:space="preserve">Least Privilege — Authorize Access to Security Functions</w:t>
            </w:r>
          </w:p>
        </w:tc>
        <w:tc>
          <w:tcPr/>
          <w:p>
            <w:pPr>
              <w:pStyle w:val="Compact"/>
            </w:pPr>
            <w:r>
              <w:t xml:space="preserve">AC</w:t>
            </w:r>
          </w:p>
        </w:tc>
        <w:tc>
          <w:tcPr/>
          <w:p>
            <w:pPr>
              <w:pStyle w:val="Compact"/>
            </w:pPr>
            <w:r>
              <w:t xml:space="preserve">Vol III Bk 01</w:t>
            </w:r>
          </w:p>
        </w:tc>
      </w:tr>
      <w:tr>
        <w:tc>
          <w:tcPr/>
          <w:p>
            <w:pPr>
              <w:pStyle w:val="Compact"/>
            </w:pPr>
            <w:r>
              <w:t xml:space="preserve">AC-6(2)</w:t>
            </w:r>
          </w:p>
        </w:tc>
        <w:tc>
          <w:tcPr/>
          <w:p>
            <w:pPr>
              <w:pStyle w:val="Compact"/>
            </w:pPr>
            <w:r>
              <w:t xml:space="preserve">Least Privilege — Non-Privileged Access for Nonsecurity Functions</w:t>
            </w:r>
          </w:p>
        </w:tc>
        <w:tc>
          <w:tcPr/>
          <w:p>
            <w:pPr>
              <w:pStyle w:val="Compact"/>
            </w:pPr>
            <w:r>
              <w:t xml:space="preserve">AC</w:t>
            </w:r>
          </w:p>
        </w:tc>
        <w:tc>
          <w:tcPr/>
          <w:p>
            <w:pPr>
              <w:pStyle w:val="Compact"/>
            </w:pPr>
            <w:r>
              <w:t xml:space="preserve">Vol III Bk 01</w:t>
            </w:r>
          </w:p>
        </w:tc>
      </w:tr>
      <w:tr>
        <w:tc>
          <w:tcPr/>
          <w:p>
            <w:pPr>
              <w:pStyle w:val="Compact"/>
            </w:pPr>
            <w:r>
              <w:t xml:space="preserve">AC-6(5)</w:t>
            </w:r>
          </w:p>
        </w:tc>
        <w:tc>
          <w:tcPr/>
          <w:p>
            <w:pPr>
              <w:pStyle w:val="Compact"/>
            </w:pPr>
            <w:r>
              <w:t xml:space="preserve">Least Privilege — Privileged Accounts</w:t>
            </w:r>
          </w:p>
        </w:tc>
        <w:tc>
          <w:tcPr/>
          <w:p>
            <w:pPr>
              <w:pStyle w:val="Compact"/>
            </w:pPr>
            <w:r>
              <w:t xml:space="preserve">AC</w:t>
            </w:r>
          </w:p>
        </w:tc>
        <w:tc>
          <w:tcPr/>
          <w:p>
            <w:pPr>
              <w:pStyle w:val="Compact"/>
            </w:pPr>
            <w:r>
              <w:t xml:space="preserve">Vol III Bk 01</w:t>
            </w:r>
          </w:p>
        </w:tc>
      </w:tr>
      <w:tr>
        <w:tc>
          <w:tcPr/>
          <w:p>
            <w:pPr>
              <w:pStyle w:val="Compact"/>
            </w:pPr>
            <w:r>
              <w:t xml:space="preserve">AC-6(9)</w:t>
            </w:r>
          </w:p>
        </w:tc>
        <w:tc>
          <w:tcPr/>
          <w:p>
            <w:pPr>
              <w:pStyle w:val="Compact"/>
            </w:pPr>
            <w:r>
              <w:t xml:space="preserve">Least Privilege — Log Use of Privileged Functions</w:t>
            </w:r>
          </w:p>
        </w:tc>
        <w:tc>
          <w:tcPr/>
          <w:p>
            <w:pPr>
              <w:pStyle w:val="Compact"/>
            </w:pPr>
            <w:r>
              <w:t xml:space="preserve">AC</w:t>
            </w:r>
          </w:p>
        </w:tc>
        <w:tc>
          <w:tcPr/>
          <w:p>
            <w:pPr>
              <w:pStyle w:val="Compact"/>
            </w:pPr>
            <w:r>
              <w:t xml:space="preserve">Vol III Bk 01, Vol VI Bk 03</w:t>
            </w:r>
          </w:p>
        </w:tc>
      </w:tr>
      <w:tr>
        <w:tc>
          <w:tcPr/>
          <w:p>
            <w:pPr>
              <w:pStyle w:val="Compact"/>
            </w:pPr>
            <w:r>
              <w:t xml:space="preserve">AC-6(10)</w:t>
            </w:r>
          </w:p>
        </w:tc>
        <w:tc>
          <w:tcPr/>
          <w:p>
            <w:pPr>
              <w:pStyle w:val="Compact"/>
            </w:pPr>
            <w:r>
              <w:t xml:space="preserve">Least Privilege — Prohibit Non-Privileged Users from Executing Privileged Functions</w:t>
            </w:r>
          </w:p>
        </w:tc>
        <w:tc>
          <w:tcPr/>
          <w:p>
            <w:pPr>
              <w:pStyle w:val="Compact"/>
            </w:pPr>
            <w:r>
              <w:t xml:space="preserve">AC</w:t>
            </w:r>
          </w:p>
        </w:tc>
        <w:tc>
          <w:tcPr/>
          <w:p>
            <w:pPr>
              <w:pStyle w:val="Compact"/>
            </w:pPr>
            <w:r>
              <w:t xml:space="preserve">Vol III Bk 01</w:t>
            </w:r>
          </w:p>
        </w:tc>
      </w:tr>
      <w:tr>
        <w:tc>
          <w:tcPr/>
          <w:p>
            <w:pPr>
              <w:pStyle w:val="Compact"/>
            </w:pPr>
            <w:r>
              <w:t xml:space="preserve">AC-7</w:t>
            </w:r>
          </w:p>
        </w:tc>
        <w:tc>
          <w:tcPr/>
          <w:p>
            <w:pPr>
              <w:pStyle w:val="Compact"/>
            </w:pPr>
            <w:r>
              <w:t xml:space="preserve">Unsuccessful Logon Attempts</w:t>
            </w:r>
          </w:p>
        </w:tc>
        <w:tc>
          <w:tcPr/>
          <w:p>
            <w:pPr>
              <w:pStyle w:val="Compact"/>
            </w:pPr>
            <w:r>
              <w:t xml:space="preserve">AC</w:t>
            </w:r>
          </w:p>
        </w:tc>
        <w:tc>
          <w:tcPr/>
          <w:p>
            <w:pPr>
              <w:pStyle w:val="Compact"/>
            </w:pPr>
            <w:r>
              <w:t xml:space="preserve">Vol VI Bk 03</w:t>
            </w:r>
          </w:p>
        </w:tc>
      </w:tr>
      <w:tr>
        <w:tc>
          <w:tcPr/>
          <w:p>
            <w:pPr>
              <w:pStyle w:val="Compact"/>
            </w:pPr>
            <w:r>
              <w:t xml:space="preserve">AC-11</w:t>
            </w:r>
          </w:p>
        </w:tc>
        <w:tc>
          <w:tcPr/>
          <w:p>
            <w:pPr>
              <w:pStyle w:val="Compact"/>
            </w:pPr>
            <w:r>
              <w:t xml:space="preserve">Device Lock</w:t>
            </w:r>
          </w:p>
        </w:tc>
        <w:tc>
          <w:tcPr/>
          <w:p>
            <w:pPr>
              <w:pStyle w:val="Compact"/>
            </w:pPr>
            <w:r>
              <w:t xml:space="preserve">AC</w:t>
            </w:r>
          </w:p>
        </w:tc>
        <w:tc>
          <w:tcPr/>
          <w:p>
            <w:pPr>
              <w:pStyle w:val="Compact"/>
            </w:pPr>
            <w:r>
              <w:t xml:space="preserve">Vol III Bk 01</w:t>
            </w:r>
          </w:p>
        </w:tc>
      </w:tr>
      <w:tr>
        <w:tc>
          <w:tcPr/>
          <w:p>
            <w:pPr>
              <w:pStyle w:val="Compact"/>
            </w:pPr>
            <w:r>
              <w:t xml:space="preserve">AC-12</w:t>
            </w:r>
          </w:p>
        </w:tc>
        <w:tc>
          <w:tcPr/>
          <w:p>
            <w:pPr>
              <w:pStyle w:val="Compact"/>
            </w:pPr>
            <w:r>
              <w:t xml:space="preserve">Session Termination</w:t>
            </w:r>
          </w:p>
        </w:tc>
        <w:tc>
          <w:tcPr/>
          <w:p>
            <w:pPr>
              <w:pStyle w:val="Compact"/>
            </w:pPr>
            <w:r>
              <w:t xml:space="preserve">AC</w:t>
            </w:r>
          </w:p>
        </w:tc>
        <w:tc>
          <w:tcPr/>
          <w:p>
            <w:pPr>
              <w:pStyle w:val="Compact"/>
            </w:pPr>
            <w:r>
              <w:t xml:space="preserve">Vol III Bk 01, Vol VI Bk 03, Vol VI Bk 04</w:t>
            </w:r>
          </w:p>
        </w:tc>
      </w:tr>
      <w:tr>
        <w:tc>
          <w:tcPr/>
          <w:p>
            <w:pPr>
              <w:pStyle w:val="Compact"/>
            </w:pPr>
            <w:r>
              <w:t xml:space="preserve">AT-2</w:t>
            </w:r>
          </w:p>
        </w:tc>
        <w:tc>
          <w:tcPr/>
          <w:p>
            <w:pPr>
              <w:pStyle w:val="Compact"/>
            </w:pPr>
            <w:r>
              <w:t xml:space="preserve">Literacy Training and Awareness</w:t>
            </w:r>
          </w:p>
        </w:tc>
        <w:tc>
          <w:tcPr/>
          <w:p>
            <w:pPr>
              <w:pStyle w:val="Compact"/>
            </w:pPr>
            <w:r>
              <w:t xml:space="preserve">AT</w:t>
            </w:r>
          </w:p>
        </w:tc>
        <w:tc>
          <w:tcPr/>
          <w:p>
            <w:pPr>
              <w:pStyle w:val="Compact"/>
            </w:pPr>
            <w:r>
              <w:t xml:space="preserve">Vol IV Bk 05, Vol V Bk 01, Vol V Bk 02, Vol V Bk 03</w:t>
            </w:r>
          </w:p>
        </w:tc>
      </w:tr>
      <w:tr>
        <w:tc>
          <w:tcPr/>
          <w:p>
            <w:pPr>
              <w:pStyle w:val="Compact"/>
            </w:pPr>
            <w:r>
              <w:t xml:space="preserve">AT-2(1)</w:t>
            </w:r>
          </w:p>
        </w:tc>
        <w:tc>
          <w:tcPr/>
          <w:p>
            <w:pPr>
              <w:pStyle w:val="Compact"/>
            </w:pPr>
            <w:r>
              <w:t xml:space="preserve">Literacy Training and Awareness — Practical Exercises</w:t>
            </w:r>
          </w:p>
        </w:tc>
        <w:tc>
          <w:tcPr/>
          <w:p>
            <w:pPr>
              <w:pStyle w:val="Compact"/>
            </w:pPr>
            <w:r>
              <w:t xml:space="preserve">AT</w:t>
            </w:r>
          </w:p>
        </w:tc>
        <w:tc>
          <w:tcPr/>
          <w:p>
            <w:pPr>
              <w:pStyle w:val="Compact"/>
            </w:pPr>
            <w:r>
              <w:t xml:space="preserve">Vol IV Bk 05</w:t>
            </w:r>
          </w:p>
        </w:tc>
      </w:tr>
      <w:tr>
        <w:tc>
          <w:tcPr/>
          <w:p>
            <w:pPr>
              <w:pStyle w:val="Compact"/>
            </w:pPr>
            <w:r>
              <w:t xml:space="preserve">AT-2(2)</w:t>
            </w:r>
          </w:p>
        </w:tc>
        <w:tc>
          <w:tcPr/>
          <w:p>
            <w:pPr>
              <w:pStyle w:val="Compact"/>
            </w:pPr>
            <w:r>
              <w:t xml:space="preserve">Literacy Training and Awareness — Insider Threat</w:t>
            </w:r>
          </w:p>
        </w:tc>
        <w:tc>
          <w:tcPr/>
          <w:p>
            <w:pPr>
              <w:pStyle w:val="Compact"/>
            </w:pPr>
            <w:r>
              <w:t xml:space="preserve">AT</w:t>
            </w:r>
          </w:p>
        </w:tc>
        <w:tc>
          <w:tcPr/>
          <w:p>
            <w:pPr>
              <w:pStyle w:val="Compact"/>
            </w:pPr>
            <w:r>
              <w:t xml:space="preserve">Vol IV Bk 05</w:t>
            </w:r>
          </w:p>
        </w:tc>
      </w:tr>
      <w:tr>
        <w:tc>
          <w:tcPr/>
          <w:p>
            <w:pPr>
              <w:pStyle w:val="Compact"/>
            </w:pPr>
            <w:r>
              <w:t xml:space="preserve">AT-3</w:t>
            </w:r>
          </w:p>
        </w:tc>
        <w:tc>
          <w:tcPr/>
          <w:p>
            <w:pPr>
              <w:pStyle w:val="Compact"/>
            </w:pPr>
            <w:r>
              <w:t xml:space="preserve">Role-based Training</w:t>
            </w:r>
          </w:p>
        </w:tc>
        <w:tc>
          <w:tcPr/>
          <w:p>
            <w:pPr>
              <w:pStyle w:val="Compact"/>
            </w:pPr>
            <w:r>
              <w:t xml:space="preserve">AT</w:t>
            </w:r>
          </w:p>
        </w:tc>
        <w:tc>
          <w:tcPr/>
          <w:p>
            <w:pPr>
              <w:pStyle w:val="Compact"/>
            </w:pPr>
            <w:r>
              <w:t xml:space="preserve">Vol IV Bk 05, Vol V Bk 01, Vol V Bk 02, Vol V Bk 03</w:t>
            </w:r>
          </w:p>
        </w:tc>
      </w:tr>
      <w:tr>
        <w:tc>
          <w:tcPr/>
          <w:p>
            <w:pPr>
              <w:pStyle w:val="Compact"/>
            </w:pPr>
            <w:r>
              <w:t xml:space="preserve">AT-3(3)</w:t>
            </w:r>
          </w:p>
        </w:tc>
        <w:tc>
          <w:tcPr/>
          <w:p>
            <w:pPr>
              <w:pStyle w:val="Compact"/>
            </w:pPr>
            <w:r>
              <w:t xml:space="preserve">Role-based Training — Practical Exercises</w:t>
            </w:r>
          </w:p>
        </w:tc>
        <w:tc>
          <w:tcPr/>
          <w:p>
            <w:pPr>
              <w:pStyle w:val="Compact"/>
            </w:pPr>
            <w:r>
              <w:t xml:space="preserve">AT</w:t>
            </w:r>
          </w:p>
        </w:tc>
        <w:tc>
          <w:tcPr/>
          <w:p>
            <w:pPr>
              <w:pStyle w:val="Compact"/>
            </w:pPr>
            <w:r>
              <w:t xml:space="preserve">Vol IV Bk 05</w:t>
            </w:r>
          </w:p>
        </w:tc>
      </w:tr>
      <w:tr>
        <w:tc>
          <w:tcPr/>
          <w:p>
            <w:pPr>
              <w:pStyle w:val="Compact"/>
            </w:pPr>
            <w:r>
              <w:t xml:space="preserve">AT-3(5)</w:t>
            </w:r>
          </w:p>
        </w:tc>
        <w:tc>
          <w:tcPr/>
          <w:p>
            <w:pPr>
              <w:pStyle w:val="Compact"/>
            </w:pPr>
            <w:r>
              <w:t xml:space="preserve">Role-based Training — Processing Personally Identifiable Information</w:t>
            </w:r>
          </w:p>
        </w:tc>
        <w:tc>
          <w:tcPr/>
          <w:p>
            <w:pPr>
              <w:pStyle w:val="Compact"/>
            </w:pPr>
            <w:r>
              <w:t xml:space="preserve">AT</w:t>
            </w:r>
          </w:p>
        </w:tc>
        <w:tc>
          <w:tcPr/>
          <w:p>
            <w:pPr>
              <w:pStyle w:val="Compact"/>
            </w:pPr>
            <w:r>
              <w:t xml:space="preserve">Vol IV Bk 05</w:t>
            </w:r>
          </w:p>
        </w:tc>
      </w:tr>
      <w:tr>
        <w:tc>
          <w:tcPr/>
          <w:p>
            <w:pPr>
              <w:pStyle w:val="Compact"/>
            </w:pPr>
            <w:r>
              <w:t xml:space="preserve">AT-4</w:t>
            </w:r>
          </w:p>
        </w:tc>
        <w:tc>
          <w:tcPr/>
          <w:p>
            <w:pPr>
              <w:pStyle w:val="Compact"/>
            </w:pPr>
            <w:r>
              <w:t xml:space="preserve">Training Records</w:t>
            </w:r>
          </w:p>
        </w:tc>
        <w:tc>
          <w:tcPr/>
          <w:p>
            <w:pPr>
              <w:pStyle w:val="Compact"/>
            </w:pPr>
            <w:r>
              <w:t xml:space="preserve">AT</w:t>
            </w:r>
          </w:p>
        </w:tc>
        <w:tc>
          <w:tcPr/>
          <w:p>
            <w:pPr>
              <w:pStyle w:val="Compact"/>
            </w:pPr>
            <w:r>
              <w:t xml:space="preserve">Vol IV Bk 05</w:t>
            </w:r>
          </w:p>
        </w:tc>
      </w:tr>
      <w:tr>
        <w:tc>
          <w:tcPr/>
          <w:p>
            <w:pPr>
              <w:pStyle w:val="Compact"/>
            </w:pPr>
            <w:r>
              <w:t xml:space="preserve">AU-6(4)</w:t>
            </w:r>
          </w:p>
        </w:tc>
        <w:tc>
          <w:tcPr/>
          <w:p>
            <w:pPr>
              <w:pStyle w:val="Compact"/>
            </w:pPr>
            <w:r>
              <w:t xml:space="preserve">Central Review and Analysis</w:t>
            </w:r>
          </w:p>
        </w:tc>
        <w:tc>
          <w:tcPr/>
          <w:p>
            <w:pPr>
              <w:pStyle w:val="Compact"/>
            </w:pPr>
            <w:r>
              <w:t xml:space="preserve">AU</w:t>
            </w:r>
          </w:p>
        </w:tc>
        <w:tc>
          <w:tcPr/>
          <w:p>
            <w:pPr>
              <w:pStyle w:val="Compact"/>
            </w:pPr>
            <w:r>
              <w:t xml:space="preserve">Vol III Bk 06</w:t>
            </w:r>
          </w:p>
        </w:tc>
      </w:tr>
      <w:tr>
        <w:tc>
          <w:tcPr/>
          <w:p>
            <w:pPr>
              <w:pStyle w:val="Compact"/>
            </w:pPr>
            <w:r>
              <w:t xml:space="preserve">AU-7</w:t>
            </w:r>
          </w:p>
        </w:tc>
        <w:tc>
          <w:tcPr/>
          <w:p>
            <w:pPr>
              <w:pStyle w:val="Compact"/>
            </w:pPr>
            <w:r>
              <w:t xml:space="preserve">Audit Record Reduction and Report Generation</w:t>
            </w:r>
          </w:p>
        </w:tc>
        <w:tc>
          <w:tcPr/>
          <w:p>
            <w:pPr>
              <w:pStyle w:val="Compact"/>
            </w:pPr>
            <w:r>
              <w:t xml:space="preserve">AU</w:t>
            </w:r>
          </w:p>
        </w:tc>
        <w:tc>
          <w:tcPr/>
          <w:p>
            <w:pPr>
              <w:pStyle w:val="Compact"/>
            </w:pPr>
            <w:r>
              <w:t xml:space="preserve">Vol III Bk 06</w:t>
            </w:r>
          </w:p>
        </w:tc>
      </w:tr>
      <w:tr>
        <w:tc>
          <w:tcPr/>
          <w:p>
            <w:pPr>
              <w:pStyle w:val="Compact"/>
            </w:pPr>
            <w:r>
              <w:t xml:space="preserve">AU-8</w:t>
            </w:r>
          </w:p>
        </w:tc>
        <w:tc>
          <w:tcPr/>
          <w:p>
            <w:pPr>
              <w:pStyle w:val="Compact"/>
            </w:pPr>
            <w:r>
              <w:t xml:space="preserve">Time Stamps</w:t>
            </w:r>
          </w:p>
        </w:tc>
        <w:tc>
          <w:tcPr/>
          <w:p>
            <w:pPr>
              <w:pStyle w:val="Compact"/>
            </w:pPr>
            <w:r>
              <w:t xml:space="preserve">AU</w:t>
            </w:r>
          </w:p>
        </w:tc>
        <w:tc>
          <w:tcPr/>
          <w:p>
            <w:pPr>
              <w:pStyle w:val="Compact"/>
            </w:pPr>
            <w:r>
              <w:t xml:space="preserve">Vol III Bk 06</w:t>
            </w:r>
          </w:p>
        </w:tc>
      </w:tr>
      <w:tr>
        <w:tc>
          <w:tcPr/>
          <w:p>
            <w:pPr>
              <w:pStyle w:val="Compact"/>
            </w:pPr>
            <w:r>
              <w:t xml:space="preserve">AU-9</w:t>
            </w:r>
          </w:p>
        </w:tc>
        <w:tc>
          <w:tcPr/>
          <w:p>
            <w:pPr>
              <w:pStyle w:val="Compact"/>
            </w:pPr>
            <w:r>
              <w:t xml:space="preserve">Protection of Audit Information</w:t>
            </w:r>
          </w:p>
        </w:tc>
        <w:tc>
          <w:tcPr/>
          <w:p>
            <w:pPr>
              <w:pStyle w:val="Compact"/>
            </w:pPr>
            <w:r>
              <w:t xml:space="preserve">AU</w:t>
            </w:r>
          </w:p>
        </w:tc>
        <w:tc>
          <w:tcPr/>
          <w:p>
            <w:pPr>
              <w:pStyle w:val="Compact"/>
            </w:pPr>
            <w:r>
              <w:t xml:space="preserve">Vol II Bk 03</w:t>
            </w:r>
          </w:p>
        </w:tc>
      </w:tr>
      <w:tr>
        <w:tc>
          <w:tcPr/>
          <w:p>
            <w:pPr>
              <w:pStyle w:val="Compact"/>
            </w:pPr>
            <w:r>
              <w:t xml:space="preserve">AU-10</w:t>
            </w:r>
          </w:p>
        </w:tc>
        <w:tc>
          <w:tcPr/>
          <w:p>
            <w:pPr>
              <w:pStyle w:val="Compact"/>
            </w:pPr>
            <w:r>
              <w:t xml:space="preserve">Non-repudiation</w:t>
            </w:r>
          </w:p>
        </w:tc>
        <w:tc>
          <w:tcPr/>
          <w:p>
            <w:pPr>
              <w:pStyle w:val="Compact"/>
            </w:pPr>
            <w:r>
              <w:t xml:space="preserve">AU</w:t>
            </w:r>
          </w:p>
        </w:tc>
        <w:tc>
          <w:tcPr/>
          <w:p>
            <w:pPr>
              <w:pStyle w:val="Compact"/>
            </w:pPr>
            <w:r>
              <w:t xml:space="preserve">Vol III Bk 05, Vol VI Bk 05</w:t>
            </w:r>
          </w:p>
        </w:tc>
      </w:tr>
      <w:tr>
        <w:tc>
          <w:tcPr/>
          <w:p>
            <w:pPr>
              <w:pStyle w:val="Compact"/>
            </w:pPr>
            <w:r>
              <w:t xml:space="preserve">AU-11</w:t>
            </w:r>
          </w:p>
        </w:tc>
        <w:tc>
          <w:tcPr/>
          <w:p>
            <w:pPr>
              <w:pStyle w:val="Compact"/>
            </w:pPr>
            <w:r>
              <w:t xml:space="preserve">Audit Record Retention</w:t>
            </w:r>
          </w:p>
        </w:tc>
        <w:tc>
          <w:tcPr/>
          <w:p>
            <w:pPr>
              <w:pStyle w:val="Compact"/>
            </w:pPr>
            <w:r>
              <w:t xml:space="preserve">AU</w:t>
            </w:r>
          </w:p>
        </w:tc>
        <w:tc>
          <w:tcPr/>
          <w:p>
            <w:pPr>
              <w:pStyle w:val="Compact"/>
            </w:pPr>
            <w:r>
              <w:t xml:space="preserve">Vol III Bk 06</w:t>
            </w:r>
          </w:p>
        </w:tc>
      </w:tr>
      <w:tr>
        <w:tc>
          <w:tcPr/>
          <w:p>
            <w:pPr>
              <w:pStyle w:val="Compact"/>
            </w:pPr>
            <w:r>
              <w:t xml:space="preserve">CA-6</w:t>
            </w:r>
          </w:p>
        </w:tc>
        <w:tc>
          <w:tcPr/>
          <w:p>
            <w:pPr>
              <w:pStyle w:val="Compact"/>
            </w:pPr>
            <w:r>
              <w:t xml:space="preserve">Authorization</w:t>
            </w:r>
          </w:p>
        </w:tc>
        <w:tc>
          <w:tcPr/>
          <w:p>
            <w:pPr>
              <w:pStyle w:val="Compact"/>
            </w:pPr>
            <w:r>
              <w:t xml:space="preserve">CA</w:t>
            </w:r>
          </w:p>
        </w:tc>
        <w:tc>
          <w:tcPr/>
          <w:p>
            <w:pPr>
              <w:pStyle w:val="Compact"/>
            </w:pPr>
            <w:r>
              <w:t xml:space="preserve">Vol IV Bk 06</w:t>
            </w:r>
          </w:p>
        </w:tc>
      </w:tr>
      <w:tr>
        <w:tc>
          <w:tcPr/>
          <w:p>
            <w:pPr>
              <w:pStyle w:val="Compact"/>
            </w:pPr>
            <w:r>
              <w:t xml:space="preserve">CA-7(1)</w:t>
            </w:r>
          </w:p>
        </w:tc>
        <w:tc>
          <w:tcPr/>
          <w:p>
            <w:pPr>
              <w:pStyle w:val="Compact"/>
            </w:pPr>
            <w:r>
              <w:t xml:space="preserve">Continuous Monitoring — Independent Assessment</w:t>
            </w:r>
          </w:p>
        </w:tc>
        <w:tc>
          <w:tcPr/>
          <w:p>
            <w:pPr>
              <w:pStyle w:val="Compact"/>
            </w:pPr>
            <w:r>
              <w:t xml:space="preserve">CA</w:t>
            </w:r>
          </w:p>
        </w:tc>
        <w:tc>
          <w:tcPr/>
          <w:p>
            <w:pPr>
              <w:pStyle w:val="Compact"/>
            </w:pPr>
            <w:r>
              <w:t xml:space="preserve">Vol IV Bk 06</w:t>
            </w:r>
          </w:p>
        </w:tc>
      </w:tr>
      <w:tr>
        <w:tc>
          <w:tcPr/>
          <w:p>
            <w:pPr>
              <w:pStyle w:val="Compact"/>
            </w:pPr>
            <w:r>
              <w:t xml:space="preserve">CA-7(3)</w:t>
            </w:r>
          </w:p>
        </w:tc>
        <w:tc>
          <w:tcPr/>
          <w:p>
            <w:pPr>
              <w:pStyle w:val="Compact"/>
            </w:pPr>
            <w:r>
              <w:t xml:space="preserve">Continuous Monitoring — Trend Analyses</w:t>
            </w:r>
          </w:p>
        </w:tc>
        <w:tc>
          <w:tcPr/>
          <w:p>
            <w:pPr>
              <w:pStyle w:val="Compact"/>
            </w:pPr>
            <w:r>
              <w:t xml:space="preserve">CA</w:t>
            </w:r>
          </w:p>
        </w:tc>
        <w:tc>
          <w:tcPr/>
          <w:p>
            <w:pPr>
              <w:pStyle w:val="Compact"/>
            </w:pPr>
            <w:r>
              <w:t xml:space="preserve">Vol IV Bk 06</w:t>
            </w:r>
          </w:p>
        </w:tc>
      </w:tr>
      <w:tr>
        <w:tc>
          <w:tcPr/>
          <w:p>
            <w:pPr>
              <w:pStyle w:val="Compact"/>
            </w:pPr>
            <w:r>
              <w:t xml:space="preserve">CM-7(1)</w:t>
            </w:r>
          </w:p>
        </w:tc>
        <w:tc>
          <w:tcPr/>
          <w:p>
            <w:pPr>
              <w:pStyle w:val="Compact"/>
            </w:pPr>
            <w:r>
              <w:t xml:space="preserve">Least Functionality — Periodic Review</w:t>
            </w:r>
          </w:p>
        </w:tc>
        <w:tc>
          <w:tcPr/>
          <w:p>
            <w:pPr>
              <w:pStyle w:val="Compact"/>
            </w:pPr>
            <w:r>
              <w:t xml:space="preserve">CM</w:t>
            </w:r>
          </w:p>
        </w:tc>
        <w:tc>
          <w:tcPr/>
          <w:p>
            <w:pPr>
              <w:pStyle w:val="Compact"/>
            </w:pPr>
            <w:r>
              <w:t xml:space="preserve">Vol III Bk 02</w:t>
            </w:r>
          </w:p>
        </w:tc>
      </w:tr>
      <w:tr>
        <w:tc>
          <w:tcPr/>
          <w:p>
            <w:pPr>
              <w:pStyle w:val="Compact"/>
            </w:pPr>
            <w:r>
              <w:t xml:space="preserve">CP-2</w:t>
            </w:r>
          </w:p>
        </w:tc>
        <w:tc>
          <w:tcPr/>
          <w:p>
            <w:pPr>
              <w:pStyle w:val="Compact"/>
            </w:pPr>
            <w:r>
              <w:t xml:space="preserve">Contingency Plan</w:t>
            </w:r>
          </w:p>
        </w:tc>
        <w:tc>
          <w:tcPr/>
          <w:p>
            <w:pPr>
              <w:pStyle w:val="Compact"/>
            </w:pPr>
            <w:r>
              <w:t xml:space="preserve">CP</w:t>
            </w:r>
          </w:p>
        </w:tc>
        <w:tc>
          <w:tcPr/>
          <w:p>
            <w:pPr>
              <w:pStyle w:val="Compact"/>
            </w:pPr>
            <w:r>
              <w:t xml:space="preserve">Vol IV Bk 01</w:t>
            </w:r>
          </w:p>
        </w:tc>
      </w:tr>
      <w:tr>
        <w:tc>
          <w:tcPr/>
          <w:p>
            <w:pPr>
              <w:pStyle w:val="Compact"/>
            </w:pPr>
            <w:r>
              <w:t xml:space="preserve">CP-2(1)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r>
      <w:tr>
        <w:tc>
          <w:tcPr/>
          <w:p>
            <w:pPr>
              <w:pStyle w:val="Compact"/>
            </w:pPr>
            <w:r>
              <w:t xml:space="preserve">CP-2(8)</w:t>
            </w:r>
          </w:p>
        </w:tc>
        <w:tc>
          <w:tcPr/>
          <w:p>
            <w:pPr>
              <w:pStyle w:val="Compact"/>
            </w:pPr>
            <w:r>
              <w:t xml:space="preserve">Identify Critical Assets</w:t>
            </w:r>
          </w:p>
        </w:tc>
        <w:tc>
          <w:tcPr/>
          <w:p>
            <w:pPr>
              <w:pStyle w:val="Compact"/>
            </w:pPr>
            <w:r>
              <w:t xml:space="preserve">CP</w:t>
            </w:r>
          </w:p>
        </w:tc>
        <w:tc>
          <w:tcPr/>
          <w:p>
            <w:pPr>
              <w:pStyle w:val="Compact"/>
            </w:pPr>
            <w:r>
              <w:t xml:space="preserve">Vol IV Bk 01</w:t>
            </w:r>
          </w:p>
        </w:tc>
      </w:tr>
      <w:tr>
        <w:tc>
          <w:tcPr/>
          <w:p>
            <w:pPr>
              <w:pStyle w:val="Compact"/>
            </w:pPr>
            <w:r>
              <w:t xml:space="preserve">CP-3</w:t>
            </w:r>
          </w:p>
        </w:tc>
        <w:tc>
          <w:tcPr/>
          <w:p>
            <w:pPr>
              <w:pStyle w:val="Compact"/>
            </w:pPr>
            <w:r>
              <w:t xml:space="preserve">Contingency Training</w:t>
            </w:r>
          </w:p>
        </w:tc>
        <w:tc>
          <w:tcPr/>
          <w:p>
            <w:pPr>
              <w:pStyle w:val="Compact"/>
            </w:pPr>
            <w:r>
              <w:t xml:space="preserve">CP</w:t>
            </w:r>
          </w:p>
        </w:tc>
        <w:tc>
          <w:tcPr/>
          <w:p>
            <w:pPr>
              <w:pStyle w:val="Compact"/>
            </w:pPr>
            <w:r>
              <w:t xml:space="preserve">Vol IV Bk 01, Vol IV Bk 05</w:t>
            </w:r>
          </w:p>
        </w:tc>
      </w:tr>
      <w:tr>
        <w:tc>
          <w:tcPr/>
          <w:p>
            <w:pPr>
              <w:pStyle w:val="Compact"/>
            </w:pPr>
            <w:r>
              <w:t xml:space="preserve">CP-4</w:t>
            </w:r>
          </w:p>
        </w:tc>
        <w:tc>
          <w:tcPr/>
          <w:p>
            <w:pPr>
              <w:pStyle w:val="Compact"/>
            </w:pPr>
            <w:r>
              <w:t xml:space="preserve">Contingency Plan Testing</w:t>
            </w:r>
          </w:p>
        </w:tc>
        <w:tc>
          <w:tcPr/>
          <w:p>
            <w:pPr>
              <w:pStyle w:val="Compact"/>
            </w:pPr>
            <w:r>
              <w:t xml:space="preserve">CP</w:t>
            </w:r>
          </w:p>
        </w:tc>
        <w:tc>
          <w:tcPr/>
          <w:p>
            <w:pPr>
              <w:pStyle w:val="Compact"/>
            </w:pPr>
            <w:r>
              <w:t xml:space="preserve">Vol IV Bk 01</w:t>
            </w:r>
          </w:p>
        </w:tc>
      </w:tr>
      <w:tr>
        <w:tc>
          <w:tcPr/>
          <w:p>
            <w:pPr>
              <w:pStyle w:val="Compact"/>
            </w:pPr>
            <w:r>
              <w:t xml:space="preserve">CP-4(1)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r>
      <w:tr>
        <w:tc>
          <w:tcPr/>
          <w:p>
            <w:pPr>
              <w:pStyle w:val="Compact"/>
            </w:pPr>
            <w:r>
              <w:t xml:space="preserve">CP-6</w:t>
            </w:r>
          </w:p>
        </w:tc>
        <w:tc>
          <w:tcPr/>
          <w:p>
            <w:pPr>
              <w:pStyle w:val="Compact"/>
            </w:pPr>
            <w:r>
              <w:t xml:space="preserve">Alternate Storage Site</w:t>
            </w:r>
          </w:p>
        </w:tc>
        <w:tc>
          <w:tcPr/>
          <w:p>
            <w:pPr>
              <w:pStyle w:val="Compact"/>
            </w:pPr>
            <w:r>
              <w:t xml:space="preserve">CP</w:t>
            </w:r>
          </w:p>
        </w:tc>
        <w:tc>
          <w:tcPr/>
          <w:p>
            <w:pPr>
              <w:pStyle w:val="Compact"/>
            </w:pPr>
            <w:r>
              <w:t xml:space="preserve">Vol IV Bk 01</w:t>
            </w:r>
          </w:p>
        </w:tc>
      </w:tr>
      <w:tr>
        <w:tc>
          <w:tcPr/>
          <w:p>
            <w:pPr>
              <w:pStyle w:val="Compact"/>
            </w:pPr>
            <w:r>
              <w:t xml:space="preserve">CP-6(1)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r>
      <w:tr>
        <w:tc>
          <w:tcPr/>
          <w:p>
            <w:pPr>
              <w:pStyle w:val="Compact"/>
            </w:pPr>
            <w:r>
              <w:t xml:space="preserve">CP-7</w:t>
            </w:r>
          </w:p>
        </w:tc>
        <w:tc>
          <w:tcPr/>
          <w:p>
            <w:pPr>
              <w:pStyle w:val="Compact"/>
            </w:pPr>
            <w:r>
              <w:t xml:space="preserve">Alternate Processing Site</w:t>
            </w:r>
          </w:p>
        </w:tc>
        <w:tc>
          <w:tcPr/>
          <w:p>
            <w:pPr>
              <w:pStyle w:val="Compact"/>
            </w:pPr>
            <w:r>
              <w:t xml:space="preserve">CP</w:t>
            </w:r>
          </w:p>
        </w:tc>
        <w:tc>
          <w:tcPr/>
          <w:p>
            <w:pPr>
              <w:pStyle w:val="Compact"/>
            </w:pPr>
            <w:r>
              <w:t xml:space="preserve">Vol IV Bk 01</w:t>
            </w:r>
          </w:p>
        </w:tc>
      </w:tr>
      <w:tr>
        <w:tc>
          <w:tcPr/>
          <w:p>
            <w:pPr>
              <w:pStyle w:val="Compact"/>
            </w:pPr>
            <w:r>
              <w:t xml:space="preserve">CP-7(1)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r>
      <w:tr>
        <w:tc>
          <w:tcPr/>
          <w:p>
            <w:pPr>
              <w:pStyle w:val="Compact"/>
            </w:pPr>
            <w:r>
              <w:t xml:space="preserve">CP-7(3)</w:t>
            </w:r>
          </w:p>
        </w:tc>
        <w:tc>
          <w:tcPr/>
          <w:p>
            <w:pPr>
              <w:pStyle w:val="Compact"/>
            </w:pPr>
            <w:r>
              <w:t xml:space="preserve">Priority of Service</w:t>
            </w:r>
          </w:p>
        </w:tc>
        <w:tc>
          <w:tcPr/>
          <w:p>
            <w:pPr>
              <w:pStyle w:val="Compact"/>
            </w:pPr>
            <w:r>
              <w:t xml:space="preserve">CP</w:t>
            </w:r>
          </w:p>
        </w:tc>
        <w:tc>
          <w:tcPr/>
          <w:p>
            <w:pPr>
              <w:pStyle w:val="Compact"/>
            </w:pPr>
            <w:r>
              <w:t xml:space="preserve">Vol IV Bk 01</w:t>
            </w:r>
          </w:p>
        </w:tc>
      </w:tr>
      <w:tr>
        <w:tc>
          <w:tcPr/>
          <w:p>
            <w:pPr>
              <w:pStyle w:val="Compact"/>
            </w:pPr>
            <w:r>
              <w:t xml:space="preserve">CP-8</w:t>
            </w:r>
          </w:p>
        </w:tc>
        <w:tc>
          <w:tcPr/>
          <w:p>
            <w:pPr>
              <w:pStyle w:val="Compact"/>
            </w:pPr>
            <w:r>
              <w:t xml:space="preserve">Telecommunications Services</w:t>
            </w:r>
          </w:p>
        </w:tc>
        <w:tc>
          <w:tcPr/>
          <w:p>
            <w:pPr>
              <w:pStyle w:val="Compact"/>
            </w:pPr>
            <w:r>
              <w:t xml:space="preserve">CP</w:t>
            </w:r>
          </w:p>
        </w:tc>
        <w:tc>
          <w:tcPr/>
          <w:p>
            <w:pPr>
              <w:pStyle w:val="Compact"/>
            </w:pPr>
            <w:r>
              <w:t xml:space="preserve">Vol IV Bk 01</w:t>
            </w:r>
          </w:p>
        </w:tc>
      </w:tr>
      <w:tr>
        <w:tc>
          <w:tcPr/>
          <w:p>
            <w:pPr>
              <w:pStyle w:val="Compact"/>
            </w:pPr>
            <w:r>
              <w:t xml:space="preserve">CP-8(1)</w:t>
            </w:r>
          </w:p>
        </w:tc>
        <w:tc>
          <w:tcPr/>
          <w:p>
            <w:pPr>
              <w:pStyle w:val="Compact"/>
            </w:pPr>
            <w:r>
              <w:t xml:space="preserve">Priority of Service Provisions</w:t>
            </w:r>
          </w:p>
        </w:tc>
        <w:tc>
          <w:tcPr/>
          <w:p>
            <w:pPr>
              <w:pStyle w:val="Compact"/>
            </w:pPr>
            <w:r>
              <w:t xml:space="preserve">CP</w:t>
            </w:r>
          </w:p>
        </w:tc>
        <w:tc>
          <w:tcPr/>
          <w:p>
            <w:pPr>
              <w:pStyle w:val="Compact"/>
            </w:pPr>
            <w:r>
              <w:t xml:space="preserve">Vol IV Bk 01</w:t>
            </w:r>
          </w:p>
        </w:tc>
      </w:tr>
      <w:tr>
        <w:tc>
          <w:tcPr/>
          <w:p>
            <w:pPr>
              <w:pStyle w:val="Compact"/>
            </w:pPr>
            <w:r>
              <w:t xml:space="preserve">CP-9</w:t>
            </w:r>
          </w:p>
        </w:tc>
        <w:tc>
          <w:tcPr/>
          <w:p>
            <w:pPr>
              <w:pStyle w:val="Compact"/>
            </w:pPr>
            <w:r>
              <w:t xml:space="preserve">System Backup</w:t>
            </w:r>
          </w:p>
        </w:tc>
        <w:tc>
          <w:tcPr/>
          <w:p>
            <w:pPr>
              <w:pStyle w:val="Compact"/>
            </w:pPr>
            <w:r>
              <w:t xml:space="preserve">CP</w:t>
            </w:r>
          </w:p>
        </w:tc>
        <w:tc>
          <w:tcPr/>
          <w:p>
            <w:pPr>
              <w:pStyle w:val="Compact"/>
            </w:pPr>
            <w:r>
              <w:t xml:space="preserve">Vol II Bk 03, Vol IV Bk 01</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CP</w:t>
            </w:r>
          </w:p>
        </w:tc>
        <w:tc>
          <w:tcPr/>
          <w:p>
            <w:pPr>
              <w:pStyle w:val="Compact"/>
            </w:pPr>
            <w:r>
              <w:t xml:space="preserve">Vol II Bk 03, Vol IV Bk 01</w:t>
            </w:r>
          </w:p>
        </w:tc>
      </w:tr>
      <w:tr>
        <w:tc>
          <w:tcPr/>
          <w:p>
            <w:pPr>
              <w:pStyle w:val="Compact"/>
            </w:pPr>
            <w:r>
              <w:t xml:space="preserve">IA-2(1)</w:t>
            </w:r>
          </w:p>
        </w:tc>
        <w:tc>
          <w:tcPr/>
          <w:p>
            <w:pPr>
              <w:pStyle w:val="Compact"/>
            </w:pPr>
            <w:r>
              <w:t xml:space="preserve">Identification and Authentication (Organizational Users) — Multi-Factor Authentication to Privileged Accounts</w:t>
            </w:r>
          </w:p>
        </w:tc>
        <w:tc>
          <w:tcPr/>
          <w:p>
            <w:pPr>
              <w:pStyle w:val="Compact"/>
            </w:pPr>
            <w:r>
              <w:t xml:space="preserve">IA</w:t>
            </w:r>
          </w:p>
        </w:tc>
        <w:tc>
          <w:tcPr/>
          <w:p>
            <w:pPr>
              <w:pStyle w:val="Compact"/>
            </w:pPr>
            <w:r>
              <w:t xml:space="preserve">Vol I Bk 03</w:t>
            </w:r>
          </w:p>
        </w:tc>
      </w:tr>
      <w:tr>
        <w:tc>
          <w:tcPr/>
          <w:p>
            <w:pPr>
              <w:pStyle w:val="Compact"/>
            </w:pPr>
            <w:r>
              <w:t xml:space="preserve">IA-2(2)</w:t>
            </w:r>
          </w:p>
        </w:tc>
        <w:tc>
          <w:tcPr/>
          <w:p>
            <w:pPr>
              <w:pStyle w:val="Compact"/>
            </w:pPr>
            <w:r>
              <w:t xml:space="preserve">Identification and Authentication (Organizational Users) — Multi-Factor Authentication to Non-Privileged Accounts</w:t>
            </w:r>
          </w:p>
        </w:tc>
        <w:tc>
          <w:tcPr/>
          <w:p>
            <w:pPr>
              <w:pStyle w:val="Compact"/>
            </w:pPr>
            <w:r>
              <w:t xml:space="preserve">IA</w:t>
            </w:r>
          </w:p>
        </w:tc>
        <w:tc>
          <w:tcPr/>
          <w:p>
            <w:pPr>
              <w:pStyle w:val="Compact"/>
            </w:pPr>
            <w:r>
              <w:t xml:space="preserve">Vol I Bk 03</w:t>
            </w:r>
          </w:p>
        </w:tc>
      </w:tr>
      <w:tr>
        <w:tc>
          <w:tcPr/>
          <w:p>
            <w:pPr>
              <w:pStyle w:val="Compact"/>
            </w:pPr>
            <w:r>
              <w:t xml:space="preserve">IA-3(1)</w:t>
            </w:r>
          </w:p>
        </w:tc>
        <w:tc>
          <w:tcPr/>
          <w:p>
            <w:pPr>
              <w:pStyle w:val="Compact"/>
            </w:pPr>
            <w:r>
              <w:t xml:space="preserve">Device Identification and Authentication — Cryptographic Bidirectional Authentication</w:t>
            </w:r>
          </w:p>
        </w:tc>
        <w:tc>
          <w:tcPr/>
          <w:p>
            <w:pPr>
              <w:pStyle w:val="Compact"/>
            </w:pPr>
            <w:r>
              <w:t xml:space="preserve">IA</w:t>
            </w:r>
          </w:p>
        </w:tc>
        <w:tc>
          <w:tcPr/>
          <w:p>
            <w:pPr>
              <w:pStyle w:val="Compact"/>
            </w:pPr>
            <w:r>
              <w:t xml:space="preserve">Vol I Bk 02</w:t>
            </w:r>
          </w:p>
        </w:tc>
      </w:tr>
      <w:tr>
        <w:tc>
          <w:tcPr/>
          <w:p>
            <w:pPr>
              <w:pStyle w:val="Compact"/>
            </w:pPr>
            <w:r>
              <w:t xml:space="preserve">IA-5(1)</w:t>
            </w:r>
          </w:p>
        </w:tc>
        <w:tc>
          <w:tcPr/>
          <w:p>
            <w:pPr>
              <w:pStyle w:val="Compact"/>
            </w:pPr>
            <w:r>
              <w:t xml:space="preserve">Authenticator Management — Password-Based Authentication</w:t>
            </w:r>
          </w:p>
        </w:tc>
        <w:tc>
          <w:tcPr/>
          <w:p>
            <w:pPr>
              <w:pStyle w:val="Compact"/>
            </w:pPr>
            <w:r>
              <w:t xml:space="preserve">IA</w:t>
            </w:r>
          </w:p>
        </w:tc>
        <w:tc>
          <w:tcPr/>
          <w:p>
            <w:pPr>
              <w:pStyle w:val="Compact"/>
            </w:pPr>
            <w:r>
              <w:t xml:space="preserve">Vol II Bk 01</w:t>
            </w:r>
          </w:p>
        </w:tc>
      </w:tr>
      <w:tr>
        <w:tc>
          <w:tcPr/>
          <w:p>
            <w:pPr>
              <w:pStyle w:val="Compact"/>
            </w:pPr>
            <w:r>
              <w:t xml:space="preserve">IA-9</w:t>
            </w:r>
          </w:p>
        </w:tc>
        <w:tc>
          <w:tcPr/>
          <w:p>
            <w:pPr>
              <w:pStyle w:val="Compact"/>
            </w:pPr>
            <w:r>
              <w:t xml:space="preserve">Service Identification and Authentication</w:t>
            </w:r>
          </w:p>
        </w:tc>
        <w:tc>
          <w:tcPr/>
          <w:p>
            <w:pPr>
              <w:pStyle w:val="Compact"/>
            </w:pPr>
            <w:r>
              <w:t xml:space="preserve">IA</w:t>
            </w:r>
          </w:p>
        </w:tc>
        <w:tc>
          <w:tcPr/>
          <w:p>
            <w:pPr>
              <w:pStyle w:val="Compact"/>
            </w:pPr>
            <w:r>
              <w:t xml:space="preserve">Vol I Bk 01</w:t>
            </w:r>
          </w:p>
        </w:tc>
      </w:tr>
      <w:tr>
        <w:tc>
          <w:tcPr/>
          <w:p>
            <w:pPr>
              <w:pStyle w:val="Compact"/>
            </w:pPr>
            <w:r>
              <w:t xml:space="preserve">IA-11</w:t>
            </w:r>
          </w:p>
        </w:tc>
        <w:tc>
          <w:tcPr/>
          <w:p>
            <w:pPr>
              <w:pStyle w:val="Compact"/>
            </w:pPr>
            <w:r>
              <w:t xml:space="preserve">Re-Authentication</w:t>
            </w:r>
          </w:p>
        </w:tc>
        <w:tc>
          <w:tcPr/>
          <w:p>
            <w:pPr>
              <w:pStyle w:val="Compact"/>
            </w:pPr>
            <w:r>
              <w:t xml:space="preserve">IA</w:t>
            </w:r>
          </w:p>
        </w:tc>
        <w:tc>
          <w:tcPr/>
          <w:p>
            <w:pPr>
              <w:pStyle w:val="Compact"/>
            </w:pPr>
            <w:r>
              <w:t xml:space="preserve">Vol III Bk 01, Vol VI Bk 02</w:t>
            </w:r>
          </w:p>
        </w:tc>
      </w:tr>
      <w:tr>
        <w:tc>
          <w:tcPr/>
          <w:p>
            <w:pPr>
              <w:pStyle w:val="Compact"/>
            </w:pPr>
            <w:r>
              <w:t xml:space="preserve">IR-2</w:t>
            </w:r>
          </w:p>
        </w:tc>
        <w:tc>
          <w:tcPr/>
          <w:p>
            <w:pPr>
              <w:pStyle w:val="Compact"/>
            </w:pPr>
            <w:r>
              <w:t xml:space="preserve">Incident Response Training</w:t>
            </w:r>
          </w:p>
        </w:tc>
        <w:tc>
          <w:tcPr/>
          <w:p>
            <w:pPr>
              <w:pStyle w:val="Compact"/>
            </w:pPr>
            <w:r>
              <w:t xml:space="preserve">IR</w:t>
            </w:r>
          </w:p>
        </w:tc>
        <w:tc>
          <w:tcPr/>
          <w:p>
            <w:pPr>
              <w:pStyle w:val="Compact"/>
            </w:pPr>
            <w:r>
              <w:t xml:space="preserve">Vol IV Bk 05</w:t>
            </w:r>
          </w:p>
        </w:tc>
      </w:tr>
      <w:tr>
        <w:tc>
          <w:tcPr/>
          <w:p>
            <w:pPr>
              <w:pStyle w:val="Compact"/>
            </w:pPr>
            <w:r>
              <w:t xml:space="preserve">IR-4</w:t>
            </w:r>
          </w:p>
        </w:tc>
        <w:tc>
          <w:tcPr/>
          <w:p>
            <w:pPr>
              <w:pStyle w:val="Compact"/>
            </w:pPr>
            <w:r>
              <w:t xml:space="preserve">Incident Handling</w:t>
            </w:r>
          </w:p>
        </w:tc>
        <w:tc>
          <w:tcPr/>
          <w:p>
            <w:pPr>
              <w:pStyle w:val="Compact"/>
            </w:pPr>
            <w:r>
              <w:t xml:space="preserve">IR</w:t>
            </w:r>
          </w:p>
        </w:tc>
        <w:tc>
          <w:tcPr/>
          <w:p>
            <w:pPr>
              <w:pStyle w:val="Compact"/>
            </w:pPr>
            <w:r>
              <w:t xml:space="preserve">Vol I Bk 01, Vol III Bk 06, Vol VI Bk 04</w:t>
            </w:r>
          </w:p>
        </w:tc>
      </w:tr>
      <w:tr>
        <w:tc>
          <w:tcPr/>
          <w:p>
            <w:pPr>
              <w:pStyle w:val="Compact"/>
            </w:pPr>
            <w:r>
              <w:t xml:space="preserve">IR-6</w:t>
            </w:r>
          </w:p>
        </w:tc>
        <w:tc>
          <w:tcPr/>
          <w:p>
            <w:pPr>
              <w:pStyle w:val="Compact"/>
            </w:pPr>
            <w:r>
              <w:t xml:space="preserve">Incident Reporting</w:t>
            </w:r>
          </w:p>
        </w:tc>
        <w:tc>
          <w:tcPr/>
          <w:p>
            <w:pPr>
              <w:pStyle w:val="Compact"/>
            </w:pPr>
            <w:r>
              <w:t xml:space="preserve">IR</w:t>
            </w:r>
          </w:p>
        </w:tc>
        <w:tc>
          <w:tcPr/>
          <w:p>
            <w:pPr>
              <w:pStyle w:val="Compact"/>
            </w:pPr>
            <w:r>
              <w:t xml:space="preserve">Vol III Bk 06, Vol VI Bk 04</w:t>
            </w:r>
          </w:p>
        </w:tc>
      </w:tr>
      <w:tr>
        <w:tc>
          <w:tcPr/>
          <w:p>
            <w:pPr>
              <w:pStyle w:val="Compact"/>
            </w:pPr>
            <w:r>
              <w:t xml:space="preserve">IR-8</w:t>
            </w:r>
          </w:p>
        </w:tc>
        <w:tc>
          <w:tcPr/>
          <w:p>
            <w:pPr>
              <w:pStyle w:val="Compact"/>
            </w:pPr>
            <w:r>
              <w:t xml:space="preserve">Incident Response Plan</w:t>
            </w:r>
          </w:p>
        </w:tc>
        <w:tc>
          <w:tcPr/>
          <w:p>
            <w:pPr>
              <w:pStyle w:val="Compact"/>
            </w:pPr>
            <w:r>
              <w:t xml:space="preserve">IR</w:t>
            </w:r>
          </w:p>
        </w:tc>
        <w:tc>
          <w:tcPr/>
          <w:p>
            <w:pPr>
              <w:pStyle w:val="Compact"/>
            </w:pPr>
            <w:r>
              <w:t xml:space="preserve">Vol III Bk 06</w:t>
            </w:r>
          </w:p>
        </w:tc>
      </w:tr>
      <w:tr>
        <w:tc>
          <w:tcPr/>
          <w:p>
            <w:pPr>
              <w:pStyle w:val="Compact"/>
            </w:pPr>
            <w:r>
              <w:t xml:space="preserve">MP-2</w:t>
            </w:r>
          </w:p>
        </w:tc>
        <w:tc>
          <w:tcPr/>
          <w:p>
            <w:pPr>
              <w:pStyle w:val="Compact"/>
            </w:pPr>
            <w:r>
              <w:t xml:space="preserve">Media Access</w:t>
            </w:r>
          </w:p>
        </w:tc>
        <w:tc>
          <w:tcPr/>
          <w:p>
            <w:pPr>
              <w:pStyle w:val="Compact"/>
            </w:pPr>
            <w:r>
              <w:t xml:space="preserve">MP</w:t>
            </w:r>
          </w:p>
        </w:tc>
        <w:tc>
          <w:tcPr/>
          <w:p>
            <w:pPr>
              <w:pStyle w:val="Compact"/>
            </w:pPr>
            <w:r>
              <w:t xml:space="preserve">Vol III Bk 05, Vol VI Bk 05</w:t>
            </w:r>
          </w:p>
        </w:tc>
      </w:tr>
      <w:tr>
        <w:tc>
          <w:tcPr/>
          <w:p>
            <w:pPr>
              <w:pStyle w:val="Compact"/>
            </w:pPr>
            <w:r>
              <w:t xml:space="preserve">MP-3</w:t>
            </w:r>
          </w:p>
        </w:tc>
        <w:tc>
          <w:tcPr/>
          <w:p>
            <w:pPr>
              <w:pStyle w:val="Compact"/>
            </w:pPr>
            <w:r>
              <w:t xml:space="preserve">Media Marking</w:t>
            </w:r>
          </w:p>
        </w:tc>
        <w:tc>
          <w:tcPr/>
          <w:p>
            <w:pPr>
              <w:pStyle w:val="Compact"/>
            </w:pPr>
            <w:r>
              <w:t xml:space="preserve">MP</w:t>
            </w:r>
          </w:p>
        </w:tc>
        <w:tc>
          <w:tcPr/>
          <w:p>
            <w:pPr>
              <w:pStyle w:val="Compact"/>
            </w:pPr>
            <w:r>
              <w:t xml:space="preserve">Vol III Bk 05, Vol VI Bk 05</w:t>
            </w:r>
          </w:p>
        </w:tc>
      </w:tr>
      <w:tr>
        <w:tc>
          <w:tcPr/>
          <w:p>
            <w:pPr>
              <w:pStyle w:val="Compact"/>
            </w:pPr>
            <w:r>
              <w:t xml:space="preserve">MP-4</w:t>
            </w:r>
          </w:p>
        </w:tc>
        <w:tc>
          <w:tcPr/>
          <w:p>
            <w:pPr>
              <w:pStyle w:val="Compact"/>
            </w:pPr>
            <w:r>
              <w:t xml:space="preserve">Media Storage</w:t>
            </w:r>
          </w:p>
        </w:tc>
        <w:tc>
          <w:tcPr/>
          <w:p>
            <w:pPr>
              <w:pStyle w:val="Compact"/>
            </w:pPr>
            <w:r>
              <w:t xml:space="preserve">MP</w:t>
            </w:r>
          </w:p>
        </w:tc>
        <w:tc>
          <w:tcPr/>
          <w:p>
            <w:pPr>
              <w:pStyle w:val="Compact"/>
            </w:pPr>
            <w:r>
              <w:t xml:space="preserve">Vol III Bk 05, Vol VI Bk 05</w:t>
            </w:r>
          </w:p>
        </w:tc>
      </w:tr>
      <w:tr>
        <w:tc>
          <w:tcPr/>
          <w:p>
            <w:pPr>
              <w:pStyle w:val="Compact"/>
            </w:pPr>
            <w:r>
              <w:t xml:space="preserve">MP-5</w:t>
            </w:r>
          </w:p>
        </w:tc>
        <w:tc>
          <w:tcPr/>
          <w:p>
            <w:pPr>
              <w:pStyle w:val="Compact"/>
            </w:pPr>
            <w:r>
              <w:t xml:space="preserve">Media Transport</w:t>
            </w:r>
          </w:p>
        </w:tc>
        <w:tc>
          <w:tcPr/>
          <w:p>
            <w:pPr>
              <w:pStyle w:val="Compact"/>
            </w:pPr>
            <w:r>
              <w:t xml:space="preserve">MP</w:t>
            </w:r>
          </w:p>
        </w:tc>
        <w:tc>
          <w:tcPr/>
          <w:p>
            <w:pPr>
              <w:pStyle w:val="Compact"/>
            </w:pPr>
            <w:r>
              <w:t xml:space="preserve">Vol III Bk 05, Vol VI Bk 05</w:t>
            </w:r>
          </w:p>
        </w:tc>
      </w:tr>
      <w:tr>
        <w:tc>
          <w:tcPr/>
          <w:p>
            <w:pPr>
              <w:pStyle w:val="Compact"/>
            </w:pPr>
            <w:r>
              <w:t xml:space="preserve">PL-8</w:t>
            </w:r>
          </w:p>
        </w:tc>
        <w:tc>
          <w:tcPr/>
          <w:p>
            <w:pPr>
              <w:pStyle w:val="Compact"/>
            </w:pPr>
            <w:r>
              <w:t xml:space="preserve">Security and Privacy Architectures</w:t>
            </w:r>
          </w:p>
        </w:tc>
        <w:tc>
          <w:tcPr/>
          <w:p>
            <w:pPr>
              <w:pStyle w:val="Compact"/>
            </w:pPr>
            <w:r>
              <w:t xml:space="preserve">PL</w:t>
            </w:r>
          </w:p>
        </w:tc>
        <w:tc>
          <w:tcPr/>
          <w:p>
            <w:pPr>
              <w:pStyle w:val="Compact"/>
            </w:pPr>
            <w:r>
              <w:t xml:space="preserve">Vol I Bk 01</w:t>
            </w:r>
          </w:p>
        </w:tc>
      </w:tr>
      <w:tr>
        <w:tc>
          <w:tcPr/>
          <w:p>
            <w:pPr>
              <w:pStyle w:val="Compact"/>
            </w:pPr>
            <w:r>
              <w:t xml:space="preserve">PM-1</w:t>
            </w:r>
          </w:p>
        </w:tc>
        <w:tc>
          <w:tcPr/>
          <w:p>
            <w:pPr>
              <w:pStyle w:val="Compact"/>
            </w:pPr>
            <w:r>
              <w:t xml:space="preserve">Information Security Program Plan</w:t>
            </w:r>
          </w:p>
        </w:tc>
        <w:tc>
          <w:tcPr/>
          <w:p>
            <w:pPr>
              <w:pStyle w:val="Compact"/>
            </w:pPr>
            <w:r>
              <w:t xml:space="preserve">PM</w:t>
            </w:r>
          </w:p>
        </w:tc>
        <w:tc>
          <w:tcPr/>
          <w:p>
            <w:pPr>
              <w:pStyle w:val="Compact"/>
            </w:pPr>
            <w:r>
              <w:t xml:space="preserve">Vol IV Bk 03</w:t>
            </w:r>
          </w:p>
        </w:tc>
      </w:tr>
      <w:tr>
        <w:tc>
          <w:tcPr/>
          <w:p>
            <w:pPr>
              <w:pStyle w:val="Compact"/>
            </w:pPr>
            <w:r>
              <w:t xml:space="preserve">PM-2</w:t>
            </w:r>
          </w:p>
        </w:tc>
        <w:tc>
          <w:tcPr/>
          <w:p>
            <w:pPr>
              <w:pStyle w:val="Compact"/>
            </w:pPr>
            <w:r>
              <w:t xml:space="preserve">Information Security Program Leadership Role</w:t>
            </w:r>
          </w:p>
        </w:tc>
        <w:tc>
          <w:tcPr/>
          <w:p>
            <w:pPr>
              <w:pStyle w:val="Compact"/>
            </w:pPr>
            <w:r>
              <w:t xml:space="preserve">PM</w:t>
            </w:r>
          </w:p>
        </w:tc>
        <w:tc>
          <w:tcPr/>
          <w:p>
            <w:pPr>
              <w:pStyle w:val="Compact"/>
            </w:pPr>
            <w:r>
              <w:t xml:space="preserve">Vol IV Bk 03</w:t>
            </w:r>
          </w:p>
        </w:tc>
      </w:tr>
      <w:tr>
        <w:tc>
          <w:tcPr/>
          <w:p>
            <w:pPr>
              <w:pStyle w:val="Compact"/>
            </w:pPr>
            <w:r>
              <w:t xml:space="preserve">PM-5</w:t>
            </w:r>
          </w:p>
        </w:tc>
        <w:tc>
          <w:tcPr/>
          <w:p>
            <w:pPr>
              <w:pStyle w:val="Compact"/>
            </w:pPr>
            <w:r>
              <w:t xml:space="preserve">System Inventory</w:t>
            </w:r>
          </w:p>
        </w:tc>
        <w:tc>
          <w:tcPr/>
          <w:p>
            <w:pPr>
              <w:pStyle w:val="Compact"/>
            </w:pPr>
            <w:r>
              <w:t xml:space="preserve">PM</w:t>
            </w:r>
          </w:p>
        </w:tc>
        <w:tc>
          <w:tcPr/>
          <w:p>
            <w:pPr>
              <w:pStyle w:val="Compact"/>
            </w:pPr>
            <w:r>
              <w:t xml:space="preserve">Vol IV Bk 03</w:t>
            </w:r>
          </w:p>
        </w:tc>
      </w:tr>
      <w:tr>
        <w:tc>
          <w:tcPr/>
          <w:p>
            <w:pPr>
              <w:pStyle w:val="Compact"/>
            </w:pPr>
            <w:r>
              <w:t xml:space="preserve">PM-7</w:t>
            </w:r>
          </w:p>
        </w:tc>
        <w:tc>
          <w:tcPr/>
          <w:p>
            <w:pPr>
              <w:pStyle w:val="Compact"/>
            </w:pPr>
            <w:r>
              <w:t xml:space="preserve">Enterprise Architecture</w:t>
            </w:r>
          </w:p>
        </w:tc>
        <w:tc>
          <w:tcPr/>
          <w:p>
            <w:pPr>
              <w:pStyle w:val="Compact"/>
            </w:pPr>
            <w:r>
              <w:t xml:space="preserve">PM</w:t>
            </w:r>
          </w:p>
        </w:tc>
        <w:tc>
          <w:tcPr/>
          <w:p>
            <w:pPr>
              <w:pStyle w:val="Compact"/>
            </w:pPr>
            <w:r>
              <w:t xml:space="preserve">Vol IV Bk 03</w:t>
            </w:r>
          </w:p>
        </w:tc>
      </w:tr>
      <w:tr>
        <w:tc>
          <w:tcPr/>
          <w:p>
            <w:pPr>
              <w:pStyle w:val="Compact"/>
            </w:pPr>
            <w:r>
              <w:t xml:space="preserve">PM-9</w:t>
            </w:r>
          </w:p>
        </w:tc>
        <w:tc>
          <w:tcPr/>
          <w:p>
            <w:pPr>
              <w:pStyle w:val="Compact"/>
            </w:pPr>
            <w:r>
              <w:t xml:space="preserve">Risk Management Strategy</w:t>
            </w:r>
          </w:p>
        </w:tc>
        <w:tc>
          <w:tcPr/>
          <w:p>
            <w:pPr>
              <w:pStyle w:val="Compact"/>
            </w:pPr>
            <w:r>
              <w:t xml:space="preserve">PM</w:t>
            </w:r>
          </w:p>
        </w:tc>
        <w:tc>
          <w:tcPr/>
          <w:p>
            <w:pPr>
              <w:pStyle w:val="Compact"/>
            </w:pPr>
            <w:r>
              <w:t xml:space="preserve">Vol IV Bk 03</w:t>
            </w:r>
          </w:p>
        </w:tc>
      </w:tr>
      <w:tr>
        <w:tc>
          <w:tcPr/>
          <w:p>
            <w:pPr>
              <w:pStyle w:val="Compact"/>
            </w:pPr>
            <w:r>
              <w:t xml:space="preserve">PM-11</w:t>
            </w:r>
          </w:p>
        </w:tc>
        <w:tc>
          <w:tcPr/>
          <w:p>
            <w:pPr>
              <w:pStyle w:val="Compact"/>
            </w:pPr>
            <w:r>
              <w:t xml:space="preserve">Mission and Business Process Definition</w:t>
            </w:r>
          </w:p>
        </w:tc>
        <w:tc>
          <w:tcPr/>
          <w:p>
            <w:pPr>
              <w:pStyle w:val="Compact"/>
            </w:pPr>
            <w:r>
              <w:t xml:space="preserve">PM</w:t>
            </w:r>
          </w:p>
        </w:tc>
        <w:tc>
          <w:tcPr/>
          <w:p>
            <w:pPr>
              <w:pStyle w:val="Compact"/>
            </w:pPr>
            <w:r>
              <w:t xml:space="preserve">Vol IV Bk 03</w:t>
            </w:r>
          </w:p>
        </w:tc>
      </w:tr>
      <w:tr>
        <w:tc>
          <w:tcPr/>
          <w:p>
            <w:pPr>
              <w:pStyle w:val="Compact"/>
            </w:pPr>
            <w:r>
              <w:t xml:space="preserve">PM-14</w:t>
            </w:r>
          </w:p>
        </w:tc>
        <w:tc>
          <w:tcPr/>
          <w:p>
            <w:pPr>
              <w:pStyle w:val="Compact"/>
            </w:pPr>
            <w:r>
              <w:t xml:space="preserve">Testing, Training, and Monitoring</w:t>
            </w:r>
          </w:p>
        </w:tc>
        <w:tc>
          <w:tcPr/>
          <w:p>
            <w:pPr>
              <w:pStyle w:val="Compact"/>
            </w:pPr>
            <w:r>
              <w:t xml:space="preserve">PM</w:t>
            </w:r>
          </w:p>
        </w:tc>
        <w:tc>
          <w:tcPr/>
          <w:p>
            <w:pPr>
              <w:pStyle w:val="Compact"/>
            </w:pPr>
            <w:r>
              <w:t xml:space="preserve">Vol IV Bk 03</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PM</w:t>
            </w:r>
          </w:p>
        </w:tc>
        <w:tc>
          <w:tcPr/>
          <w:p>
            <w:pPr>
              <w:pStyle w:val="Compact"/>
            </w:pPr>
            <w:r>
              <w:t xml:space="preserve">Vol IV Bk 03</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PM</w:t>
            </w:r>
          </w:p>
        </w:tc>
        <w:tc>
          <w:tcPr/>
          <w:p>
            <w:pPr>
              <w:pStyle w:val="Compact"/>
            </w:pPr>
            <w:r>
              <w:t xml:space="preserve">Vol IV Bk 03</w:t>
            </w:r>
          </w:p>
        </w:tc>
      </w:tr>
      <w:tr>
        <w:tc>
          <w:tcPr/>
          <w:p>
            <w:pPr>
              <w:pStyle w:val="Compact"/>
            </w:pPr>
            <w:r>
              <w:t xml:space="preserve">PT-1</w:t>
            </w:r>
          </w:p>
        </w:tc>
        <w:tc>
          <w:tcPr/>
          <w:p>
            <w:pPr>
              <w:pStyle w:val="Compact"/>
            </w:pPr>
            <w:r>
              <w:t xml:space="preserve">Policy and Procedures</w:t>
            </w:r>
          </w:p>
        </w:tc>
        <w:tc>
          <w:tcPr/>
          <w:p>
            <w:pPr>
              <w:pStyle w:val="Compact"/>
            </w:pPr>
            <w:r>
              <w:t xml:space="preserve">PT</w:t>
            </w:r>
          </w:p>
        </w:tc>
        <w:tc>
          <w:tcPr/>
          <w:p>
            <w:pPr>
              <w:pStyle w:val="Compact"/>
            </w:pPr>
            <w:r>
              <w:t xml:space="preserve">Vol IV Bk 04</w:t>
            </w:r>
          </w:p>
        </w:tc>
      </w:tr>
      <w:tr>
        <w:tc>
          <w:tcPr/>
          <w:p>
            <w:pPr>
              <w:pStyle w:val="Compact"/>
            </w:pPr>
            <w:r>
              <w:t xml:space="preserve">PT-2</w:t>
            </w:r>
          </w:p>
        </w:tc>
        <w:tc>
          <w:tcPr/>
          <w:p>
            <w:pPr>
              <w:pStyle w:val="Compact"/>
            </w:pPr>
            <w:r>
              <w:t xml:space="preserve">Authority to Process Personally Identifiable Information</w:t>
            </w:r>
          </w:p>
        </w:tc>
        <w:tc>
          <w:tcPr/>
          <w:p>
            <w:pPr>
              <w:pStyle w:val="Compact"/>
            </w:pPr>
            <w:r>
              <w:t xml:space="preserve">PT</w:t>
            </w:r>
          </w:p>
        </w:tc>
        <w:tc>
          <w:tcPr/>
          <w:p>
            <w:pPr>
              <w:pStyle w:val="Compact"/>
            </w:pPr>
            <w:r>
              <w:t xml:space="preserve">Vol IV Bk 04</w:t>
            </w:r>
          </w:p>
        </w:tc>
      </w:tr>
      <w:tr>
        <w:tc>
          <w:tcPr/>
          <w:p>
            <w:pPr>
              <w:pStyle w:val="Compact"/>
            </w:pPr>
            <w:r>
              <w:t xml:space="preserve">PT-3</w:t>
            </w:r>
          </w:p>
        </w:tc>
        <w:tc>
          <w:tcPr/>
          <w:p>
            <w:pPr>
              <w:pStyle w:val="Compact"/>
            </w:pPr>
            <w:r>
              <w:t xml:space="preserve">Personally Identifiable Information Processing Purposes</w:t>
            </w:r>
          </w:p>
        </w:tc>
        <w:tc>
          <w:tcPr/>
          <w:p>
            <w:pPr>
              <w:pStyle w:val="Compact"/>
            </w:pPr>
            <w:r>
              <w:t xml:space="preserve">PT</w:t>
            </w:r>
          </w:p>
        </w:tc>
        <w:tc>
          <w:tcPr/>
          <w:p>
            <w:pPr>
              <w:pStyle w:val="Compact"/>
            </w:pPr>
            <w:r>
              <w:t xml:space="preserve">Vol IV Bk 04</w:t>
            </w:r>
          </w:p>
        </w:tc>
      </w:tr>
      <w:tr>
        <w:tc>
          <w:tcPr/>
          <w:p>
            <w:pPr>
              <w:pStyle w:val="Compact"/>
            </w:pPr>
            <w:r>
              <w:t xml:space="preserve">PT-4</w:t>
            </w:r>
          </w:p>
        </w:tc>
        <w:tc>
          <w:tcPr/>
          <w:p>
            <w:pPr>
              <w:pStyle w:val="Compact"/>
            </w:pPr>
            <w:r>
              <w:t xml:space="preserve">Consent</w:t>
            </w:r>
          </w:p>
        </w:tc>
        <w:tc>
          <w:tcPr/>
          <w:p>
            <w:pPr>
              <w:pStyle w:val="Compact"/>
            </w:pPr>
            <w:r>
              <w:t xml:space="preserve">PT</w:t>
            </w:r>
          </w:p>
        </w:tc>
        <w:tc>
          <w:tcPr/>
          <w:p>
            <w:pPr>
              <w:pStyle w:val="Compact"/>
            </w:pPr>
            <w:r>
              <w:t xml:space="preserve">Vol IV Bk 04</w:t>
            </w:r>
          </w:p>
        </w:tc>
      </w:tr>
      <w:tr>
        <w:tc>
          <w:tcPr/>
          <w:p>
            <w:pPr>
              <w:pStyle w:val="Compact"/>
            </w:pPr>
            <w:r>
              <w:t xml:space="preserve">PT-5</w:t>
            </w:r>
          </w:p>
        </w:tc>
        <w:tc>
          <w:tcPr/>
          <w:p>
            <w:pPr>
              <w:pStyle w:val="Compact"/>
            </w:pPr>
            <w:r>
              <w:t xml:space="preserve">Privacy Notice</w:t>
            </w:r>
          </w:p>
        </w:tc>
        <w:tc>
          <w:tcPr/>
          <w:p>
            <w:pPr>
              <w:pStyle w:val="Compact"/>
            </w:pPr>
            <w:r>
              <w:t xml:space="preserve">PT</w:t>
            </w:r>
          </w:p>
        </w:tc>
        <w:tc>
          <w:tcPr/>
          <w:p>
            <w:pPr>
              <w:pStyle w:val="Compact"/>
            </w:pPr>
            <w:r>
              <w:t xml:space="preserve">Vol IV Bk 04</w:t>
            </w:r>
          </w:p>
        </w:tc>
      </w:tr>
      <w:tr>
        <w:tc>
          <w:tcPr/>
          <w:p>
            <w:pPr>
              <w:pStyle w:val="Compact"/>
            </w:pPr>
            <w:r>
              <w:t xml:space="preserve">PT-7</w:t>
            </w:r>
          </w:p>
        </w:tc>
        <w:tc>
          <w:tcPr/>
          <w:p>
            <w:pPr>
              <w:pStyle w:val="Compact"/>
            </w:pPr>
            <w:r>
              <w:t xml:space="preserve">Specific Categories of Personally Identifiable Information</w:t>
            </w:r>
          </w:p>
        </w:tc>
        <w:tc>
          <w:tcPr/>
          <w:p>
            <w:pPr>
              <w:pStyle w:val="Compact"/>
            </w:pPr>
            <w:r>
              <w:t xml:space="preserve">PT</w:t>
            </w:r>
          </w:p>
        </w:tc>
        <w:tc>
          <w:tcPr/>
          <w:p>
            <w:pPr>
              <w:pStyle w:val="Compact"/>
            </w:pPr>
            <w:r>
              <w:t xml:space="preserve">Vol IV Bk 04</w:t>
            </w:r>
          </w:p>
        </w:tc>
      </w:tr>
      <w:tr>
        <w:tc>
          <w:tcPr/>
          <w:p>
            <w:pPr>
              <w:pStyle w:val="Compact"/>
            </w:pPr>
            <w:r>
              <w:t xml:space="preserve">RA-3</w:t>
            </w:r>
          </w:p>
        </w:tc>
        <w:tc>
          <w:tcPr/>
          <w:p>
            <w:pPr>
              <w:pStyle w:val="Compact"/>
            </w:pPr>
            <w:r>
              <w:t xml:space="preserve">Risk Assessment</w:t>
            </w:r>
          </w:p>
        </w:tc>
        <w:tc>
          <w:tcPr/>
          <w:p>
            <w:pPr>
              <w:pStyle w:val="Compact"/>
            </w:pPr>
            <w:r>
              <w:t xml:space="preserve">RA</w:t>
            </w:r>
          </w:p>
        </w:tc>
        <w:tc>
          <w:tcPr/>
          <w:p>
            <w:pPr>
              <w:pStyle w:val="Compact"/>
            </w:pPr>
            <w:r>
              <w:t xml:space="preserve">Vol IV Bk 06</w:t>
            </w:r>
          </w:p>
        </w:tc>
      </w:tr>
      <w:tr>
        <w:tc>
          <w:tcPr/>
          <w:p>
            <w:pPr>
              <w:pStyle w:val="Compact"/>
            </w:pPr>
            <w:r>
              <w:t xml:space="preserve">RA-5(2)</w:t>
            </w:r>
          </w:p>
        </w:tc>
        <w:tc>
          <w:tcPr/>
          <w:p>
            <w:pPr>
              <w:pStyle w:val="Compact"/>
            </w:pPr>
            <w:r>
              <w:t xml:space="preserve">Vulnerability Monitoring and Scanning — Update Vulnerabilities to Be Scanned</w:t>
            </w:r>
          </w:p>
        </w:tc>
        <w:tc>
          <w:tcPr/>
          <w:p>
            <w:pPr>
              <w:pStyle w:val="Compact"/>
            </w:pPr>
            <w:r>
              <w:t xml:space="preserve">RA</w:t>
            </w:r>
          </w:p>
        </w:tc>
        <w:tc>
          <w:tcPr/>
          <w:p>
            <w:pPr>
              <w:pStyle w:val="Compact"/>
            </w:pPr>
            <w:r>
              <w:t xml:space="preserve">Vol III Bk 02</w:t>
            </w:r>
          </w:p>
        </w:tc>
      </w:tr>
      <w:tr>
        <w:tc>
          <w:tcPr/>
          <w:p>
            <w:pPr>
              <w:pStyle w:val="Compact"/>
            </w:pPr>
            <w:r>
              <w:t xml:space="preserve">RA-5(5)</w:t>
            </w:r>
          </w:p>
        </w:tc>
        <w:tc>
          <w:tcPr/>
          <w:p>
            <w:pPr>
              <w:pStyle w:val="Compact"/>
            </w:pPr>
            <w:r>
              <w:t xml:space="preserve">Vulnerability Monitoring and Scanning — Privileged Access</w:t>
            </w:r>
          </w:p>
        </w:tc>
        <w:tc>
          <w:tcPr/>
          <w:p>
            <w:pPr>
              <w:pStyle w:val="Compact"/>
            </w:pPr>
            <w:r>
              <w:t xml:space="preserve">RA</w:t>
            </w:r>
          </w:p>
        </w:tc>
        <w:tc>
          <w:tcPr/>
          <w:p>
            <w:pPr>
              <w:pStyle w:val="Compact"/>
            </w:pPr>
            <w:r>
              <w:t xml:space="preserve">Vol III Bk 02</w:t>
            </w:r>
          </w:p>
        </w:tc>
      </w:tr>
      <w:tr>
        <w:tc>
          <w:tcPr/>
          <w:p>
            <w:pPr>
              <w:pStyle w:val="Compact"/>
            </w:pPr>
            <w:r>
              <w:t xml:space="preserve">SA-8</w:t>
            </w:r>
          </w:p>
        </w:tc>
        <w:tc>
          <w:tcPr/>
          <w:p>
            <w:pPr>
              <w:pStyle w:val="Compact"/>
            </w:pPr>
            <w:r>
              <w:t xml:space="preserve">Security and Privacy Engineering Principles</w:t>
            </w:r>
          </w:p>
        </w:tc>
        <w:tc>
          <w:tcPr/>
          <w:p>
            <w:pPr>
              <w:pStyle w:val="Compact"/>
            </w:pPr>
            <w:r>
              <w:t xml:space="preserve">SA</w:t>
            </w:r>
          </w:p>
        </w:tc>
        <w:tc>
          <w:tcPr/>
          <w:p>
            <w:pPr>
              <w:pStyle w:val="Compact"/>
            </w:pPr>
            <w:r>
              <w:t xml:space="preserve">Vol II Bk 03</w:t>
            </w:r>
          </w:p>
        </w:tc>
      </w:tr>
      <w:tr>
        <w:tc>
          <w:tcPr/>
          <w:p>
            <w:pPr>
              <w:pStyle w:val="Compact"/>
            </w:pPr>
            <w:r>
              <w:t xml:space="preserve">SA-15</w:t>
            </w:r>
          </w:p>
        </w:tc>
        <w:tc>
          <w:tcPr/>
          <w:p>
            <w:pPr>
              <w:pStyle w:val="Compact"/>
            </w:pPr>
            <w:r>
              <w:t xml:space="preserve">Development Process, Standards, and Tools</w:t>
            </w:r>
          </w:p>
        </w:tc>
        <w:tc>
          <w:tcPr/>
          <w:p>
            <w:pPr>
              <w:pStyle w:val="Compact"/>
            </w:pPr>
            <w:r>
              <w:t xml:space="preserve">SA</w:t>
            </w:r>
          </w:p>
        </w:tc>
        <w:tc>
          <w:tcPr/>
          <w:p>
            <w:pPr>
              <w:pStyle w:val="Compact"/>
            </w:pPr>
            <w:r>
              <w:t xml:space="preserve">Vol IV Bk 06</w:t>
            </w:r>
          </w:p>
        </w:tc>
      </w:tr>
      <w:tr>
        <w:tc>
          <w:tcPr/>
          <w:p>
            <w:pPr>
              <w:pStyle w:val="Compact"/>
            </w:pPr>
            <w:r>
              <w:t xml:space="preserve">SC-5</w:t>
            </w:r>
          </w:p>
        </w:tc>
        <w:tc>
          <w:tcPr/>
          <w:p>
            <w:pPr>
              <w:pStyle w:val="Compact"/>
            </w:pPr>
            <w:r>
              <w:t xml:space="preserve">Denial-of-Service Protection</w:t>
            </w:r>
          </w:p>
        </w:tc>
        <w:tc>
          <w:tcPr/>
          <w:p>
            <w:pPr>
              <w:pStyle w:val="Compact"/>
            </w:pPr>
            <w:r>
              <w:t xml:space="preserve">SC</w:t>
            </w:r>
          </w:p>
        </w:tc>
        <w:tc>
          <w:tcPr/>
          <w:p>
            <w:pPr>
              <w:pStyle w:val="Compact"/>
            </w:pPr>
            <w:r>
              <w:t xml:space="preserve">Vol II Bk 03</w:t>
            </w:r>
          </w:p>
        </w:tc>
      </w:tr>
      <w:tr>
        <w:tc>
          <w:tcPr/>
          <w:p>
            <w:pPr>
              <w:pStyle w:val="Compact"/>
            </w:pPr>
            <w:r>
              <w:t xml:space="preserve">SC-7(3)</w:t>
            </w:r>
          </w:p>
        </w:tc>
        <w:tc>
          <w:tcPr/>
          <w:p>
            <w:pPr>
              <w:pStyle w:val="Compact"/>
            </w:pPr>
            <w:r>
              <w:t xml:space="preserve">Boundary Protection — Access Points</w:t>
            </w:r>
          </w:p>
        </w:tc>
        <w:tc>
          <w:tcPr/>
          <w:p>
            <w:pPr>
              <w:pStyle w:val="Compact"/>
            </w:pPr>
            <w:r>
              <w:t xml:space="preserve">SC</w:t>
            </w:r>
          </w:p>
        </w:tc>
        <w:tc>
          <w:tcPr/>
          <w:p>
            <w:pPr>
              <w:pStyle w:val="Compact"/>
            </w:pPr>
            <w:r>
              <w:t xml:space="preserve">Vol I Bk 02</w:t>
            </w:r>
          </w:p>
        </w:tc>
      </w:tr>
      <w:tr>
        <w:tc>
          <w:tcPr/>
          <w:p>
            <w:pPr>
              <w:pStyle w:val="Compact"/>
            </w:pPr>
            <w:r>
              <w:t xml:space="preserve">SC-7(5)</w:t>
            </w:r>
          </w:p>
        </w:tc>
        <w:tc>
          <w:tcPr/>
          <w:p>
            <w:pPr>
              <w:pStyle w:val="Compact"/>
            </w:pPr>
            <w:r>
              <w:t xml:space="preserve">Boundary Protection — Deny by Default — Allow by Exception</w:t>
            </w:r>
          </w:p>
        </w:tc>
        <w:tc>
          <w:tcPr/>
          <w:p>
            <w:pPr>
              <w:pStyle w:val="Compact"/>
            </w:pPr>
            <w:r>
              <w:t xml:space="preserve">SC</w:t>
            </w:r>
          </w:p>
        </w:tc>
        <w:tc>
          <w:tcPr/>
          <w:p>
            <w:pPr>
              <w:pStyle w:val="Compact"/>
            </w:pPr>
            <w:r>
              <w:t xml:space="preserve">Vol I Bk 02</w:t>
            </w:r>
          </w:p>
        </w:tc>
      </w:tr>
      <w:tr>
        <w:tc>
          <w:tcPr/>
          <w:p>
            <w:pPr>
              <w:pStyle w:val="Compact"/>
            </w:pPr>
            <w:r>
              <w:t xml:space="preserve">SC-7(7)</w:t>
            </w:r>
          </w:p>
        </w:tc>
        <w:tc>
          <w:tcPr/>
          <w:p>
            <w:pPr>
              <w:pStyle w:val="Compact"/>
            </w:pPr>
            <w:r>
              <w:t xml:space="preserve">Boundary Protection — Split Tunneling for Remote Devices</w:t>
            </w:r>
          </w:p>
        </w:tc>
        <w:tc>
          <w:tcPr/>
          <w:p>
            <w:pPr>
              <w:pStyle w:val="Compact"/>
            </w:pPr>
            <w:r>
              <w:t xml:space="preserve">SC</w:t>
            </w:r>
          </w:p>
        </w:tc>
        <w:tc>
          <w:tcPr/>
          <w:p>
            <w:pPr>
              <w:pStyle w:val="Compact"/>
            </w:pPr>
            <w:r>
              <w:t xml:space="preserve">Vol I Bk 06</w:t>
            </w:r>
          </w:p>
        </w:tc>
      </w:tr>
      <w:tr>
        <w:tc>
          <w:tcPr/>
          <w:p>
            <w:pPr>
              <w:pStyle w:val="Compact"/>
            </w:pPr>
            <w:r>
              <w:t xml:space="preserve">SC-12</w:t>
            </w:r>
          </w:p>
        </w:tc>
        <w:tc>
          <w:tcPr/>
          <w:p>
            <w:pPr>
              <w:pStyle w:val="Compact"/>
            </w:pPr>
            <w:r>
              <w:t xml:space="preserve">Cryptographic Key Establishment and Management</w:t>
            </w:r>
          </w:p>
        </w:tc>
        <w:tc>
          <w:tcPr/>
          <w:p>
            <w:pPr>
              <w:pStyle w:val="Compact"/>
            </w:pPr>
            <w:r>
              <w:t xml:space="preserve">SC</w:t>
            </w:r>
          </w:p>
        </w:tc>
        <w:tc>
          <w:tcPr/>
          <w:p>
            <w:pPr>
              <w:pStyle w:val="Compact"/>
            </w:pPr>
            <w:r>
              <w:t xml:space="preserve">Vol I Bk 03, Vol III Bk 05, Vol VI Bk 05</w:t>
            </w:r>
          </w:p>
        </w:tc>
      </w:tr>
      <w:tr>
        <w:tc>
          <w:tcPr/>
          <w:p>
            <w:pPr>
              <w:pStyle w:val="Compact"/>
            </w:pPr>
            <w:r>
              <w:t xml:space="preserve">SC-12(1)</w:t>
            </w:r>
          </w:p>
        </w:tc>
        <w:tc>
          <w:tcPr/>
          <w:p>
            <w:pPr>
              <w:pStyle w:val="Compact"/>
            </w:pPr>
            <w:r>
              <w:t xml:space="preserve">Availability</w:t>
            </w:r>
          </w:p>
        </w:tc>
        <w:tc>
          <w:tcPr/>
          <w:p>
            <w:pPr>
              <w:pStyle w:val="Compact"/>
            </w:pPr>
            <w:r>
              <w:t xml:space="preserve">SC</w:t>
            </w:r>
          </w:p>
        </w:tc>
        <w:tc>
          <w:tcPr/>
          <w:p>
            <w:pPr>
              <w:pStyle w:val="Compact"/>
            </w:pPr>
            <w:r>
              <w:t xml:space="preserve">Vol III Bk 05</w:t>
            </w:r>
          </w:p>
        </w:tc>
      </w:tr>
      <w:tr>
        <w:tc>
          <w:tcPr/>
          <w:p>
            <w:pPr>
              <w:pStyle w:val="Compact"/>
            </w:pPr>
            <w:r>
              <w:t xml:space="preserve">SC-13</w:t>
            </w:r>
          </w:p>
        </w:tc>
        <w:tc>
          <w:tcPr/>
          <w:p>
            <w:pPr>
              <w:pStyle w:val="Compact"/>
            </w:pPr>
            <w:r>
              <w:t xml:space="preserve">Cryptographic Protection</w:t>
            </w:r>
          </w:p>
        </w:tc>
        <w:tc>
          <w:tcPr/>
          <w:p>
            <w:pPr>
              <w:pStyle w:val="Compact"/>
            </w:pPr>
            <w:r>
              <w:t xml:space="preserve">SC</w:t>
            </w:r>
          </w:p>
        </w:tc>
        <w:tc>
          <w:tcPr/>
          <w:p>
            <w:pPr>
              <w:pStyle w:val="Compact"/>
            </w:pPr>
            <w:r>
              <w:t xml:space="preserve">Vol III Bk 05</w:t>
            </w:r>
          </w:p>
        </w:tc>
      </w:tr>
      <w:tr>
        <w:tc>
          <w:tcPr/>
          <w:p>
            <w:pPr>
              <w:pStyle w:val="Compact"/>
            </w:pPr>
            <w:r>
              <w:t xml:space="preserve">SC-28</w:t>
            </w:r>
          </w:p>
        </w:tc>
        <w:tc>
          <w:tcPr/>
          <w:p>
            <w:pPr>
              <w:pStyle w:val="Compact"/>
            </w:pPr>
            <w:r>
              <w:t xml:space="preserve">Protection of Information at Rest</w:t>
            </w:r>
          </w:p>
        </w:tc>
        <w:tc>
          <w:tcPr/>
          <w:p>
            <w:pPr>
              <w:pStyle w:val="Compact"/>
            </w:pPr>
            <w:r>
              <w:t xml:space="preserve">SC</w:t>
            </w:r>
          </w:p>
        </w:tc>
        <w:tc>
          <w:tcPr/>
          <w:p>
            <w:pPr>
              <w:pStyle w:val="Compact"/>
            </w:pPr>
            <w:r>
              <w:t xml:space="preserve">Vol II Bk 03, Vol III Bk 05, Vol VI Bk 05</w:t>
            </w:r>
          </w:p>
        </w:tc>
      </w:tr>
      <w:tr>
        <w:tc>
          <w:tcPr/>
          <w:p>
            <w:pPr>
              <w:pStyle w:val="Compact"/>
            </w:pPr>
            <w:r>
              <w:t xml:space="preserve">SI-4(2)</w:t>
            </w:r>
          </w:p>
        </w:tc>
        <w:tc>
          <w:tcPr/>
          <w:p>
            <w:pPr>
              <w:pStyle w:val="Compact"/>
            </w:pPr>
            <w:r>
              <w:t xml:space="preserve">Automated Tools and Mechanisms for Real-time Analysis</w:t>
            </w:r>
          </w:p>
        </w:tc>
        <w:tc>
          <w:tcPr/>
          <w:p>
            <w:pPr>
              <w:pStyle w:val="Compact"/>
            </w:pPr>
            <w:r>
              <w:t xml:space="preserve">SI</w:t>
            </w:r>
          </w:p>
        </w:tc>
        <w:tc>
          <w:tcPr/>
          <w:p>
            <w:pPr>
              <w:pStyle w:val="Compact"/>
            </w:pPr>
            <w:r>
              <w:t xml:space="preserve">Vol III Bk 06</w:t>
            </w:r>
          </w:p>
        </w:tc>
      </w:tr>
      <w:tr>
        <w:tc>
          <w:tcPr/>
          <w:p>
            <w:pPr>
              <w:pStyle w:val="Compact"/>
            </w:pPr>
            <w:r>
              <w:t xml:space="preserve">SI-4(4)</w:t>
            </w:r>
          </w:p>
        </w:tc>
        <w:tc>
          <w:tcPr/>
          <w:p>
            <w:pPr>
              <w:pStyle w:val="Compact"/>
            </w:pPr>
            <w:r>
              <w:t xml:space="preserve">Inbound and Outbound Communications Traffic</w:t>
            </w:r>
          </w:p>
        </w:tc>
        <w:tc>
          <w:tcPr/>
          <w:p>
            <w:pPr>
              <w:pStyle w:val="Compact"/>
            </w:pPr>
            <w:r>
              <w:t xml:space="preserve">SI</w:t>
            </w:r>
          </w:p>
        </w:tc>
        <w:tc>
          <w:tcPr/>
          <w:p>
            <w:pPr>
              <w:pStyle w:val="Compact"/>
            </w:pPr>
            <w:r>
              <w:t xml:space="preserve">Vol III Bk 06</w:t>
            </w:r>
          </w:p>
        </w:tc>
      </w:tr>
      <w:tr>
        <w:tc>
          <w:tcPr/>
          <w:p>
            <w:pPr>
              <w:pStyle w:val="Compact"/>
            </w:pPr>
            <w:r>
              <w:t xml:space="preserve">SI-4(7)</w:t>
            </w:r>
          </w:p>
        </w:tc>
        <w:tc>
          <w:tcPr/>
          <w:p>
            <w:pPr>
              <w:pStyle w:val="Compact"/>
            </w:pPr>
            <w:r>
              <w:t xml:space="preserve">Automated Response to Suspicious Events</w:t>
            </w:r>
          </w:p>
        </w:tc>
        <w:tc>
          <w:tcPr/>
          <w:p>
            <w:pPr>
              <w:pStyle w:val="Compact"/>
            </w:pPr>
            <w:r>
              <w:t xml:space="preserve">SI</w:t>
            </w:r>
          </w:p>
        </w:tc>
        <w:tc>
          <w:tcPr/>
          <w:p>
            <w:pPr>
              <w:pStyle w:val="Compact"/>
            </w:pPr>
            <w:r>
              <w:t xml:space="preserve">Vol III Bk 06</w:t>
            </w:r>
          </w:p>
        </w:tc>
      </w:tr>
      <w:tr>
        <w:tc>
          <w:tcPr/>
          <w:p>
            <w:pPr>
              <w:pStyle w:val="Compact"/>
            </w:pPr>
            <w:r>
              <w:t xml:space="preserve">SI-5</w:t>
            </w:r>
          </w:p>
        </w:tc>
        <w:tc>
          <w:tcPr/>
          <w:p>
            <w:pPr>
              <w:pStyle w:val="Compact"/>
            </w:pPr>
            <w:r>
              <w:t xml:space="preserve">Security Alerts, Advisories, and Directives</w:t>
            </w:r>
          </w:p>
        </w:tc>
        <w:tc>
          <w:tcPr/>
          <w:p>
            <w:pPr>
              <w:pStyle w:val="Compact"/>
            </w:pPr>
            <w:r>
              <w:t xml:space="preserve">SI</w:t>
            </w:r>
          </w:p>
        </w:tc>
        <w:tc>
          <w:tcPr/>
          <w:p>
            <w:pPr>
              <w:pStyle w:val="Compact"/>
            </w:pPr>
            <w:r>
              <w:t xml:space="preserve">Vol III Bk 02</w:t>
            </w:r>
          </w:p>
        </w:tc>
      </w:tr>
      <w:tr>
        <w:tc>
          <w:tcPr/>
          <w:p>
            <w:pPr>
              <w:pStyle w:val="Compact"/>
            </w:pPr>
            <w:r>
              <w:t xml:space="preserve">SR-1</w:t>
            </w:r>
          </w:p>
        </w:tc>
        <w:tc>
          <w:tcPr/>
          <w:p>
            <w:pPr>
              <w:pStyle w:val="Compact"/>
            </w:pPr>
            <w:r>
              <w:t xml:space="preserve">Policy and Procedures</w:t>
            </w:r>
          </w:p>
        </w:tc>
        <w:tc>
          <w:tcPr/>
          <w:p>
            <w:pPr>
              <w:pStyle w:val="Compact"/>
            </w:pPr>
            <w:r>
              <w:t xml:space="preserve">SR</w:t>
            </w:r>
          </w:p>
        </w:tc>
        <w:tc>
          <w:tcPr/>
          <w:p>
            <w:pPr>
              <w:pStyle w:val="Compact"/>
            </w:pPr>
            <w:r>
              <w:t xml:space="preserve">Vol IV Bk 02</w:t>
            </w:r>
          </w:p>
        </w:tc>
      </w:tr>
      <w:tr>
        <w:tc>
          <w:tcPr/>
          <w:p>
            <w:pPr>
              <w:pStyle w:val="Compact"/>
            </w:pPr>
            <w:r>
              <w:t xml:space="preserve">SR-2</w:t>
            </w:r>
          </w:p>
        </w:tc>
        <w:tc>
          <w:tcPr/>
          <w:p>
            <w:pPr>
              <w:pStyle w:val="Compact"/>
            </w:pPr>
            <w:r>
              <w:t xml:space="preserve">Supply Chain Risk Management Plan</w:t>
            </w:r>
          </w:p>
        </w:tc>
        <w:tc>
          <w:tcPr/>
          <w:p>
            <w:pPr>
              <w:pStyle w:val="Compact"/>
            </w:pPr>
            <w:r>
              <w:t xml:space="preserve">SR</w:t>
            </w:r>
          </w:p>
        </w:tc>
        <w:tc>
          <w:tcPr/>
          <w:p>
            <w:pPr>
              <w:pStyle w:val="Compact"/>
            </w:pPr>
            <w:r>
              <w:t xml:space="preserve">Vol IV Bk 02</w:t>
            </w:r>
          </w:p>
        </w:tc>
      </w:tr>
      <w:tr>
        <w:tc>
          <w:tcPr/>
          <w:p>
            <w:pPr>
              <w:pStyle w:val="Compact"/>
            </w:pPr>
            <w:r>
              <w:t xml:space="preserve">SR-3</w:t>
            </w:r>
          </w:p>
        </w:tc>
        <w:tc>
          <w:tcPr/>
          <w:p>
            <w:pPr>
              <w:pStyle w:val="Compact"/>
            </w:pPr>
            <w:r>
              <w:t xml:space="preserve">Supply Chain Controls and Processes</w:t>
            </w:r>
          </w:p>
        </w:tc>
        <w:tc>
          <w:tcPr/>
          <w:p>
            <w:pPr>
              <w:pStyle w:val="Compact"/>
            </w:pPr>
            <w:r>
              <w:t xml:space="preserve">SR</w:t>
            </w:r>
          </w:p>
        </w:tc>
        <w:tc>
          <w:tcPr/>
          <w:p>
            <w:pPr>
              <w:pStyle w:val="Compact"/>
            </w:pPr>
            <w:r>
              <w:t xml:space="preserve">Vol IV Bk 02</w:t>
            </w:r>
          </w:p>
        </w:tc>
      </w:tr>
      <w:tr>
        <w:tc>
          <w:tcPr/>
          <w:p>
            <w:pPr>
              <w:pStyle w:val="Compact"/>
            </w:pPr>
            <w:r>
              <w:t xml:space="preserve">SR-5</w:t>
            </w:r>
          </w:p>
        </w:tc>
        <w:tc>
          <w:tcPr/>
          <w:p>
            <w:pPr>
              <w:pStyle w:val="Compact"/>
            </w:pPr>
            <w:r>
              <w:t xml:space="preserve">Acquisition Strategies, Tools, and Methods</w:t>
            </w:r>
          </w:p>
        </w:tc>
        <w:tc>
          <w:tcPr/>
          <w:p>
            <w:pPr>
              <w:pStyle w:val="Compact"/>
            </w:pPr>
            <w:r>
              <w:t xml:space="preserve">SR</w:t>
            </w:r>
          </w:p>
        </w:tc>
        <w:tc>
          <w:tcPr/>
          <w:p>
            <w:pPr>
              <w:pStyle w:val="Compact"/>
            </w:pPr>
            <w:r>
              <w:t xml:space="preserve">Vol IV Bk 02</w:t>
            </w:r>
          </w:p>
        </w:tc>
      </w:tr>
      <w:tr>
        <w:tc>
          <w:tcPr/>
          <w:p>
            <w:pPr>
              <w:pStyle w:val="Compact"/>
            </w:pPr>
            <w:r>
              <w:t xml:space="preserve">SR-6</w:t>
            </w:r>
          </w:p>
        </w:tc>
        <w:tc>
          <w:tcPr/>
          <w:p>
            <w:pPr>
              <w:pStyle w:val="Compact"/>
            </w:pPr>
            <w:r>
              <w:t xml:space="preserve">Supplier Assessments and Reviews</w:t>
            </w:r>
          </w:p>
        </w:tc>
        <w:tc>
          <w:tcPr/>
          <w:p>
            <w:pPr>
              <w:pStyle w:val="Compact"/>
            </w:pPr>
            <w:r>
              <w:t xml:space="preserve">SR</w:t>
            </w:r>
          </w:p>
        </w:tc>
        <w:tc>
          <w:tcPr/>
          <w:p>
            <w:pPr>
              <w:pStyle w:val="Compact"/>
            </w:pPr>
            <w:r>
              <w:t xml:space="preserve">Vol IV Bk 02</w:t>
            </w:r>
          </w:p>
        </w:tc>
      </w:tr>
      <w:tr>
        <w:tc>
          <w:tcPr/>
          <w:p>
            <w:pPr>
              <w:pStyle w:val="Compact"/>
            </w:pPr>
            <w:r>
              <w:t xml:space="preserve">SR-8</w:t>
            </w:r>
          </w:p>
        </w:tc>
        <w:tc>
          <w:tcPr/>
          <w:p>
            <w:pPr>
              <w:pStyle w:val="Compact"/>
            </w:pPr>
            <w:r>
              <w:t xml:space="preserve">Notification Agreements</w:t>
            </w:r>
          </w:p>
        </w:tc>
        <w:tc>
          <w:tcPr/>
          <w:p>
            <w:pPr>
              <w:pStyle w:val="Compact"/>
            </w:pPr>
            <w:r>
              <w:t xml:space="preserve">SR</w:t>
            </w:r>
          </w:p>
        </w:tc>
        <w:tc>
          <w:tcPr/>
          <w:p>
            <w:pPr>
              <w:pStyle w:val="Compact"/>
            </w:pPr>
            <w:r>
              <w:t xml:space="preserve">Vol IV Bk 02</w:t>
            </w:r>
          </w:p>
        </w:tc>
      </w:tr>
      <w:tr>
        <w:tc>
          <w:tcPr/>
          <w:p>
            <w:pPr>
              <w:pStyle w:val="Compact"/>
            </w:pPr>
            <w:r>
              <w:t xml:space="preserve">SR-10</w:t>
            </w:r>
          </w:p>
        </w:tc>
        <w:tc>
          <w:tcPr/>
          <w:p>
            <w:pPr>
              <w:pStyle w:val="Compact"/>
            </w:pPr>
            <w:r>
              <w:t xml:space="preserve">Inspection of Systems or Components</w:t>
            </w:r>
          </w:p>
        </w:tc>
        <w:tc>
          <w:tcPr/>
          <w:p>
            <w:pPr>
              <w:pStyle w:val="Compact"/>
            </w:pPr>
            <w:r>
              <w:t xml:space="preserve">SR</w:t>
            </w:r>
          </w:p>
        </w:tc>
        <w:tc>
          <w:tcPr/>
          <w:p>
            <w:pPr>
              <w:pStyle w:val="Compact"/>
            </w:pPr>
            <w:r>
              <w:t xml:space="preserve">Vol IV Bk 02</w:t>
            </w:r>
          </w:p>
        </w:tc>
      </w:tr>
      <w:tr>
        <w:tc>
          <w:tcPr/>
          <w:p>
            <w:pPr>
              <w:pStyle w:val="Compact"/>
            </w:pPr>
            <w:r>
              <w:t xml:space="preserve">SR-11</w:t>
            </w:r>
          </w:p>
        </w:tc>
        <w:tc>
          <w:tcPr/>
          <w:p>
            <w:pPr>
              <w:pStyle w:val="Compact"/>
            </w:pPr>
            <w:r>
              <w:t xml:space="preserve">Component Authenticity</w:t>
            </w:r>
          </w:p>
        </w:tc>
        <w:tc>
          <w:tcPr/>
          <w:p>
            <w:pPr>
              <w:pStyle w:val="Compact"/>
            </w:pPr>
            <w:r>
              <w:t xml:space="preserve">SR</w:t>
            </w:r>
          </w:p>
        </w:tc>
        <w:tc>
          <w:tcPr/>
          <w:p>
            <w:pPr>
              <w:pStyle w:val="Compact"/>
            </w:pPr>
            <w:r>
              <w:t xml:space="preserve">Vol IV Bk 02</w:t>
            </w:r>
          </w:p>
        </w:tc>
      </w:tr>
    </w:tbl>
    <w:bookmarkEnd w:id="1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3" Target="https://marketplace.fedramp.gov/" TargetMode="External" /><Relationship Type="http://schemas.openxmlformats.org/officeDocument/2006/relationships/hyperlink" Id="rId108" Target="https://www.atlassian.com/blog/announcements/atlassiangovernmentcloud" TargetMode="External" /><Relationship Type="http://schemas.openxmlformats.org/officeDocument/2006/relationships/hyperlink" Id="rId106" Target="https://www.fedramp.gov/marketplace/products/F1607197917/" TargetMode="External" /><Relationship Type="http://schemas.openxmlformats.org/officeDocument/2006/relationships/hyperlink" Id="rId104" Target="https://www.fedramp.gov/marketplace/products/FR2001938710A/" TargetMode="External" /><Relationship Type="http://schemas.openxmlformats.org/officeDocument/2006/relationships/hyperlink" Id="rId109" Target="https://www.fedramp.gov/marketplace/products/FR2110342613/" TargetMode="External" /><Relationship Type="http://schemas.openxmlformats.org/officeDocument/2006/relationships/hyperlink" Id="rId111" Target="https://www.paloaltonetworks.com/blog/prisma-cloud/fedramp-high-impact-ready/" TargetMode="External" /><Relationship Type="http://schemas.openxmlformats.org/officeDocument/2006/relationships/hyperlink" Id="rId107" Target="https://www.riverbed.com/blogs/riverbed-platform-achieves-fedramp-class-d-certification/" TargetMode="External" /><Relationship Type="http://schemas.openxmlformats.org/officeDocument/2006/relationships/hyperlink" Id="rId105" Target="https://www.servicenow.com/company/media/press-room/servicenow-secures-fedramp-high-authorization.html" TargetMode="External" /><Relationship Type="http://schemas.openxmlformats.org/officeDocument/2006/relationships/hyperlink" Id="rId110" Target="https://www.wiz.io/blog/wiz-achieves-fedramp-high-authorization" TargetMode="External" /></Relationships>
</file>

<file path=word/_rels/footnotes.xml.rels><?xml version="1.0" encoding="UTF-8"?><Relationships xmlns="http://schemas.openxmlformats.org/package/2006/relationships"><Relationship Type="http://schemas.openxmlformats.org/officeDocument/2006/relationships/hyperlink" Id="rId103" Target="https://marketplace.fedramp.gov/" TargetMode="External" /><Relationship Type="http://schemas.openxmlformats.org/officeDocument/2006/relationships/hyperlink" Id="rId108" Target="https://www.atlassian.com/blog/announcements/atlassiangovernmentcloud" TargetMode="External" /><Relationship Type="http://schemas.openxmlformats.org/officeDocument/2006/relationships/hyperlink" Id="rId106" Target="https://www.fedramp.gov/marketplace/products/F1607197917/" TargetMode="External" /><Relationship Type="http://schemas.openxmlformats.org/officeDocument/2006/relationships/hyperlink" Id="rId104" Target="https://www.fedramp.gov/marketplace/products/FR2001938710A/" TargetMode="External" /><Relationship Type="http://schemas.openxmlformats.org/officeDocument/2006/relationships/hyperlink" Id="rId109" Target="https://www.fedramp.gov/marketplace/products/FR2110342613/" TargetMode="External" /><Relationship Type="http://schemas.openxmlformats.org/officeDocument/2006/relationships/hyperlink" Id="rId111" Target="https://www.paloaltonetworks.com/blog/prisma-cloud/fedramp-high-impact-ready/" TargetMode="External" /><Relationship Type="http://schemas.openxmlformats.org/officeDocument/2006/relationships/hyperlink" Id="rId107" Target="https://www.riverbed.com/blogs/riverbed-platform-achieves-fedramp-class-d-certification/" TargetMode="External" /><Relationship Type="http://schemas.openxmlformats.org/officeDocument/2006/relationships/hyperlink" Id="rId105" Target="https://www.servicenow.com/company/media/press-room/servicenow-secures-fedramp-high-authorization.html" TargetMode="External" /><Relationship Type="http://schemas.openxmlformats.org/officeDocument/2006/relationships/hyperlink" Id="rId110" Target="https://www.wiz.io/blog/wiz-achieves-fedramp-high-authoriz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0 — Executive Summary, Questionnaire &amp; Control Crosswalk</dc:title>
  <dc:creator/>
  <cp:keywords/>
  <dcterms:created xsi:type="dcterms:W3CDTF">2026-10-19T10:17:39Z</dcterms:created>
  <dcterms:modified xsi:type="dcterms:W3CDTF">2026-10-19T10:17:39Z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